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2855" w14:textId="77777777" w:rsidR="00D649CA" w:rsidRPr="00D649CA" w:rsidRDefault="0076031B" w:rsidP="00D570C5">
      <w:pPr>
        <w:pStyle w:val="Heading1"/>
      </w:pPr>
      <w:bookmarkStart w:id="0" w:name="_Toc244414388"/>
      <w:r w:rsidRPr="0076031B">
        <w:rPr>
          <w:rFonts w:ascii="Arial" w:hAnsi="Arial"/>
          <w:noProof/>
          <w:spacing w:val="-3"/>
          <w:sz w:val="20"/>
        </w:rPr>
        <w:drawing>
          <wp:anchor distT="0" distB="0" distL="114300" distR="114300" simplePos="0" relativeHeight="251658240" behindDoc="0" locked="0" layoutInCell="1" allowOverlap="1" wp14:anchorId="194A1E3F" wp14:editId="0B2A19F9">
            <wp:simplePos x="0" y="0"/>
            <wp:positionH relativeFrom="column">
              <wp:posOffset>4495800</wp:posOffset>
            </wp:positionH>
            <wp:positionV relativeFrom="paragraph">
              <wp:posOffset>0</wp:posOffset>
            </wp:positionV>
            <wp:extent cx="1133475" cy="1150620"/>
            <wp:effectExtent l="0" t="0" r="9525" b="0"/>
            <wp:wrapSquare wrapText="bothSides"/>
            <wp:docPr id="1"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a:ln>
                      <a:noFill/>
                    </a:ln>
                  </pic:spPr>
                </pic:pic>
              </a:graphicData>
            </a:graphic>
          </wp:anchor>
        </w:drawing>
      </w:r>
      <w:r w:rsidR="00D649CA" w:rsidRPr="00D649CA">
        <w:t>SECRETARY-GENERAL’S PEACEBUILDING FUND</w:t>
      </w:r>
    </w:p>
    <w:p w14:paraId="432625E9" w14:textId="09375E90" w:rsidR="00AD48BA" w:rsidRPr="00D649CA" w:rsidRDefault="003C06C5" w:rsidP="00D570C5">
      <w:pPr>
        <w:pStyle w:val="Heading1"/>
      </w:pPr>
      <w:r w:rsidRPr="00D649CA">
        <w:t xml:space="preserve">PROJECT DOCUMENT </w:t>
      </w:r>
      <w:r w:rsidR="00AD48BA" w:rsidRPr="00D649CA">
        <w:t xml:space="preserve">TEMPLATE </w:t>
      </w:r>
    </w:p>
    <w:bookmarkEnd w:id="0"/>
    <w:p w14:paraId="298929A6" w14:textId="77777777" w:rsidR="003C06C5" w:rsidRPr="00D649CA" w:rsidRDefault="00365721" w:rsidP="00D570C5">
      <w:pPr>
        <w:pStyle w:val="Heading1"/>
      </w:pP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003C06C5" w:rsidRPr="00D649CA">
        <w:tab/>
      </w:r>
      <w:r w:rsidR="003C06C5" w:rsidRPr="00D649CA">
        <w:tab/>
      </w:r>
      <w:r w:rsidR="003C06C5" w:rsidRPr="00D649CA">
        <w:tab/>
      </w:r>
      <w:r w:rsidR="003C06C5" w:rsidRPr="00D649CA">
        <w:tab/>
        <w:t xml:space="preserve">      </w:t>
      </w:r>
    </w:p>
    <w:p w14:paraId="031ABC83" w14:textId="77777777" w:rsidR="003C06C5" w:rsidRPr="00D649CA" w:rsidRDefault="003C06C5" w:rsidP="00D570C5">
      <w:pPr>
        <w:jc w:val="center"/>
        <w:rPr>
          <w:rFonts w:ascii="Arial" w:hAnsi="Arial" w:cs="Arial"/>
          <w:b/>
        </w:rPr>
      </w:pPr>
    </w:p>
    <w:p w14:paraId="33BEA6FC" w14:textId="42D3918C" w:rsidR="003C06C5" w:rsidRPr="00D649CA" w:rsidRDefault="003C06C5" w:rsidP="00D570C5">
      <w:pPr>
        <w:jc w:val="center"/>
        <w:rPr>
          <w:rFonts w:ascii="Arial" w:hAnsi="Arial" w:cs="Arial"/>
          <w:b/>
        </w:rPr>
      </w:pPr>
      <w:r w:rsidRPr="00D649CA">
        <w:rPr>
          <w:rFonts w:ascii="Arial" w:hAnsi="Arial"/>
          <w:noProof/>
          <w:spacing w:val="-3"/>
          <w:sz w:val="20"/>
        </w:rPr>
        <w:t xml:space="preserve">              </w:t>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p>
    <w:p w14:paraId="3BD45496" w14:textId="35CAC2EB" w:rsidR="009F0871" w:rsidRPr="00EC736F" w:rsidRDefault="00D649CA" w:rsidP="00D570C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8"/>
          <w:lang w:val="fr-FR"/>
        </w:rPr>
      </w:pPr>
      <w:r w:rsidRPr="00651B28">
        <w:rPr>
          <w:b/>
          <w:bCs/>
          <w:sz w:val="28"/>
          <w:szCs w:val="28"/>
        </w:rPr>
        <w:tab/>
      </w:r>
      <w:r>
        <w:rPr>
          <w:b/>
          <w:bCs/>
          <w:sz w:val="28"/>
          <w:szCs w:val="28"/>
          <w:lang w:val="fr-FR"/>
        </w:rPr>
        <w:t xml:space="preserve">PBF </w:t>
      </w:r>
      <w:r w:rsidR="009F0871" w:rsidRPr="00EC736F">
        <w:rPr>
          <w:b/>
          <w:bCs/>
          <w:sz w:val="28"/>
          <w:szCs w:val="28"/>
          <w:lang w:val="fr-FR"/>
        </w:rPr>
        <w:t>P</w:t>
      </w:r>
      <w:r w:rsidR="009F0871" w:rsidRPr="00EC736F">
        <w:rPr>
          <w:b/>
          <w:spacing w:val="-3"/>
          <w:sz w:val="28"/>
          <w:szCs w:val="28"/>
          <w:lang w:val="fr-FR"/>
        </w:rPr>
        <w:t>ROJEC</w:t>
      </w:r>
      <w:r w:rsidR="009F0871" w:rsidRPr="00EC736F">
        <w:rPr>
          <w:b/>
          <w:spacing w:val="-3"/>
          <w:sz w:val="28"/>
          <w:lang w:val="fr-FR"/>
        </w:rPr>
        <w:t xml:space="preserve">T DOCUMENT </w:t>
      </w:r>
    </w:p>
    <w:p w14:paraId="5BBDE13F" w14:textId="433FFAEB" w:rsidR="009F0871" w:rsidRPr="006379CF" w:rsidRDefault="006379CF" w:rsidP="00D570C5">
      <w:pPr>
        <w:pStyle w:val="Heading1"/>
        <w:jc w:val="center"/>
        <w:rPr>
          <w:b w:val="0"/>
          <w:sz w:val="22"/>
          <w:szCs w:val="22"/>
          <w:lang w:val="fr-FR"/>
        </w:rPr>
      </w:pPr>
      <w:r w:rsidRPr="006379CF">
        <w:rPr>
          <w:b w:val="0"/>
          <w:sz w:val="22"/>
          <w:szCs w:val="22"/>
          <w:lang w:val="fr-FR"/>
        </w:rPr>
        <w:t>(</w:t>
      </w:r>
      <w:proofErr w:type="spellStart"/>
      <w:r w:rsidR="00EC736F" w:rsidRPr="006379CF">
        <w:rPr>
          <w:b w:val="0"/>
          <w:sz w:val="22"/>
          <w:szCs w:val="22"/>
          <w:lang w:val="fr-FR"/>
        </w:rPr>
        <w:t>Length</w:t>
      </w:r>
      <w:proofErr w:type="spellEnd"/>
      <w:r w:rsidR="003C06C5" w:rsidRPr="006379CF">
        <w:rPr>
          <w:b w:val="0"/>
          <w:sz w:val="22"/>
          <w:szCs w:val="22"/>
          <w:lang w:val="fr-FR"/>
        </w:rPr>
        <w:t> :</w:t>
      </w:r>
      <w:r w:rsidR="00EC736F" w:rsidRPr="006379CF">
        <w:rPr>
          <w:b w:val="0"/>
          <w:sz w:val="22"/>
          <w:szCs w:val="22"/>
          <w:lang w:val="fr-FR"/>
        </w:rPr>
        <w:t xml:space="preserve"> Max. 1</w:t>
      </w:r>
      <w:r w:rsidR="009A1657" w:rsidRPr="006379CF">
        <w:rPr>
          <w:b w:val="0"/>
          <w:sz w:val="22"/>
          <w:szCs w:val="22"/>
          <w:lang w:val="fr-FR"/>
        </w:rPr>
        <w:t>2</w:t>
      </w:r>
      <w:r w:rsidR="00EC736F" w:rsidRPr="006379CF">
        <w:rPr>
          <w:b w:val="0"/>
          <w:sz w:val="22"/>
          <w:szCs w:val="22"/>
          <w:lang w:val="fr-FR"/>
        </w:rPr>
        <w:t xml:space="preserve"> pages</w:t>
      </w:r>
      <w:r w:rsidRPr="006379CF">
        <w:rPr>
          <w:b w:val="0"/>
          <w:sz w:val="22"/>
          <w:szCs w:val="22"/>
          <w:lang w:val="fr-FR"/>
        </w:rPr>
        <w:t xml:space="preserve"> plus cover page and annexes)</w:t>
      </w:r>
    </w:p>
    <w:p w14:paraId="70FA61D1" w14:textId="77777777" w:rsidR="00584237" w:rsidRPr="00584237" w:rsidRDefault="00584237" w:rsidP="00D570C5">
      <w:pPr>
        <w:rPr>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2848"/>
        <w:gridCol w:w="2154"/>
        <w:gridCol w:w="2166"/>
      </w:tblGrid>
      <w:tr w:rsidR="00584237" w:rsidRPr="00A96454" w14:paraId="4DAE216F" w14:textId="77777777" w:rsidTr="1534F9D4">
        <w:trPr>
          <w:trHeight w:val="422"/>
        </w:trPr>
        <w:tc>
          <w:tcPr>
            <w:tcW w:w="10080" w:type="dxa"/>
            <w:gridSpan w:val="4"/>
          </w:tcPr>
          <w:p w14:paraId="7165139B" w14:textId="2B94E011" w:rsidR="00584237" w:rsidRPr="00A96454" w:rsidRDefault="00584237" w:rsidP="00D570C5">
            <w:pPr>
              <w:pStyle w:val="BalloonText"/>
              <w:numPr>
                <w:ilvl w:val="12"/>
                <w:numId w:val="0"/>
              </w:numPr>
              <w:tabs>
                <w:tab w:val="left" w:pos="-720"/>
                <w:tab w:val="left" w:pos="4500"/>
              </w:tabs>
              <w:suppressAutoHyphens/>
              <w:rPr>
                <w:rFonts w:ascii="Times New Roman" w:hAnsi="Times New Roman" w:cs="Times New Roman"/>
                <w:b/>
                <w:sz w:val="24"/>
                <w:szCs w:val="24"/>
              </w:rPr>
            </w:pPr>
            <w:r w:rsidRPr="00A96454">
              <w:rPr>
                <w:rFonts w:ascii="Times New Roman" w:hAnsi="Times New Roman" w:cs="Times New Roman"/>
                <w:b/>
                <w:sz w:val="24"/>
                <w:szCs w:val="24"/>
              </w:rPr>
              <w:t>Country</w:t>
            </w:r>
            <w:r w:rsidR="00D649CA">
              <w:rPr>
                <w:rFonts w:ascii="Times New Roman" w:hAnsi="Times New Roman" w:cs="Times New Roman"/>
                <w:b/>
                <w:sz w:val="24"/>
                <w:szCs w:val="24"/>
              </w:rPr>
              <w:t xml:space="preserve"> (</w:t>
            </w:r>
            <w:proofErr w:type="spellStart"/>
            <w:r w:rsidR="00D649CA">
              <w:rPr>
                <w:rFonts w:ascii="Times New Roman" w:hAnsi="Times New Roman" w:cs="Times New Roman"/>
                <w:b/>
                <w:sz w:val="24"/>
                <w:szCs w:val="24"/>
              </w:rPr>
              <w:t>ies</w:t>
            </w:r>
            <w:proofErr w:type="spellEnd"/>
            <w:r w:rsidR="00D649CA">
              <w:rPr>
                <w:rFonts w:ascii="Times New Roman" w:hAnsi="Times New Roman" w:cs="Times New Roman"/>
                <w:b/>
                <w:sz w:val="24"/>
                <w:szCs w:val="24"/>
              </w:rPr>
              <w:t>)</w:t>
            </w:r>
            <w:r w:rsidRPr="00A96454">
              <w:rPr>
                <w:rFonts w:ascii="Times New Roman" w:hAnsi="Times New Roman" w:cs="Times New Roman"/>
                <w:b/>
                <w:sz w:val="24"/>
                <w:szCs w:val="24"/>
              </w:rPr>
              <w:t>:</w:t>
            </w:r>
            <w:r w:rsidR="000620B0">
              <w:rPr>
                <w:rFonts w:ascii="Times New Roman" w:hAnsi="Times New Roman" w:cs="Times New Roman"/>
                <w:b/>
                <w:sz w:val="24"/>
                <w:szCs w:val="24"/>
              </w:rPr>
              <w:t xml:space="preserve"> </w:t>
            </w:r>
            <w:r w:rsidR="000C2135">
              <w:rPr>
                <w:rFonts w:ascii="Times New Roman" w:hAnsi="Times New Roman" w:cs="Times New Roman"/>
                <w:sz w:val="24"/>
                <w:szCs w:val="24"/>
              </w:rPr>
              <w:t>Kosovo</w:t>
            </w:r>
            <w:r w:rsidR="000C2135" w:rsidRPr="000C2135">
              <w:rPr>
                <w:rFonts w:ascii="Times New Roman" w:hAnsi="Times New Roman" w:cs="Times New Roman"/>
                <w:sz w:val="24"/>
                <w:szCs w:val="24"/>
                <w:vertAlign w:val="superscript"/>
              </w:rPr>
              <w:footnoteReference w:id="2"/>
            </w:r>
          </w:p>
        </w:tc>
      </w:tr>
      <w:tr w:rsidR="00584237" w:rsidRPr="00A96454" w14:paraId="00FBBEBE" w14:textId="77777777" w:rsidTr="1534F9D4">
        <w:trPr>
          <w:trHeight w:val="422"/>
        </w:trPr>
        <w:tc>
          <w:tcPr>
            <w:tcW w:w="10080" w:type="dxa"/>
            <w:gridSpan w:val="4"/>
          </w:tcPr>
          <w:p w14:paraId="2C45908B" w14:textId="2593F343" w:rsidR="00584237" w:rsidRDefault="00584237" w:rsidP="00D570C5">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96454">
              <w:rPr>
                <w:rFonts w:ascii="Times New Roman" w:hAnsi="Times New Roman" w:cs="Times New Roman"/>
                <w:b/>
                <w:sz w:val="24"/>
                <w:szCs w:val="24"/>
                <w:lang w:val="en-US"/>
              </w:rPr>
              <w:t xml:space="preserve">Project </w:t>
            </w:r>
            <w:r w:rsidRPr="00A96454">
              <w:rPr>
                <w:rFonts w:ascii="Times New Roman" w:hAnsi="Times New Roman" w:cs="Times New Roman"/>
                <w:b/>
                <w:sz w:val="24"/>
                <w:szCs w:val="24"/>
              </w:rPr>
              <w:t>Title</w:t>
            </w:r>
            <w:r w:rsidRPr="00A96454">
              <w:rPr>
                <w:rFonts w:ascii="Times New Roman" w:hAnsi="Times New Roman" w:cs="Times New Roman"/>
                <w:b/>
                <w:sz w:val="24"/>
                <w:szCs w:val="24"/>
                <w:lang w:val="en-US"/>
              </w:rPr>
              <w:t xml:space="preserve">: </w:t>
            </w:r>
            <w:r w:rsidR="000620B0" w:rsidRPr="004F164B">
              <w:rPr>
                <w:rFonts w:ascii="Times New Roman" w:hAnsi="Times New Roman" w:cs="Times New Roman"/>
                <w:sz w:val="24"/>
                <w:szCs w:val="24"/>
                <w:lang w:val="en-US"/>
              </w:rPr>
              <w:t>Empowering Youth for a Peaceful, Prosperous, and Sustainable Future in Kosovo</w:t>
            </w:r>
          </w:p>
          <w:p w14:paraId="2D067145" w14:textId="027CD79F" w:rsidR="00584237" w:rsidRDefault="00584237" w:rsidP="00D570C5">
            <w:pPr>
              <w:rPr>
                <w:b/>
              </w:rPr>
            </w:pPr>
            <w:r w:rsidRPr="00A96454">
              <w:rPr>
                <w:b/>
              </w:rPr>
              <w:t>Project Number from MPTF-O Gateway</w:t>
            </w:r>
            <w:r w:rsidR="009C0AF7">
              <w:rPr>
                <w:b/>
              </w:rPr>
              <w:t xml:space="preserve"> (if </w:t>
            </w:r>
            <w:r w:rsidR="00D649CA">
              <w:rPr>
                <w:b/>
              </w:rPr>
              <w:t>existing project</w:t>
            </w:r>
            <w:r w:rsidR="009C0AF7">
              <w:rPr>
                <w:b/>
              </w:rPr>
              <w:t>)</w:t>
            </w:r>
            <w:r w:rsidRPr="00A96454">
              <w:rPr>
                <w:b/>
              </w:rPr>
              <w:t>:</w:t>
            </w:r>
            <w:r w:rsidR="000620B0">
              <w:rPr>
                <w:b/>
              </w:rPr>
              <w:t xml:space="preserve"> n/a</w:t>
            </w:r>
          </w:p>
          <w:p w14:paraId="03C6E995" w14:textId="6EE6F308" w:rsidR="00973AE1" w:rsidRPr="00A96454" w:rsidRDefault="00973AE1" w:rsidP="00D570C5">
            <w:pPr>
              <w:rPr>
                <w:b/>
                <w:bCs/>
              </w:rPr>
            </w:pPr>
          </w:p>
        </w:tc>
      </w:tr>
      <w:tr w:rsidR="00584237" w:rsidRPr="00A1035E" w14:paraId="0068290A" w14:textId="77777777" w:rsidTr="00851FBE">
        <w:trPr>
          <w:trHeight w:val="422"/>
        </w:trPr>
        <w:tc>
          <w:tcPr>
            <w:tcW w:w="2912" w:type="dxa"/>
          </w:tcPr>
          <w:p w14:paraId="54D128AF" w14:textId="77777777" w:rsidR="00584237" w:rsidRPr="00A96454" w:rsidRDefault="00584237" w:rsidP="00D570C5">
            <w:pPr>
              <w:tabs>
                <w:tab w:val="left" w:pos="0"/>
              </w:tabs>
              <w:suppressAutoHyphens/>
              <w:jc w:val="both"/>
              <w:rPr>
                <w:b/>
                <w:bCs/>
              </w:rPr>
            </w:pPr>
            <w:r w:rsidRPr="00A96454">
              <w:rPr>
                <w:b/>
                <w:bCs/>
              </w:rPr>
              <w:t>PBF project modality:</w:t>
            </w:r>
          </w:p>
          <w:p w14:paraId="77129B1D" w14:textId="6C50338A" w:rsidR="00584237" w:rsidRPr="00A96454" w:rsidRDefault="000620B0" w:rsidP="00D570C5">
            <w:pPr>
              <w:tabs>
                <w:tab w:val="left" w:pos="0"/>
              </w:tabs>
              <w:suppressAutoHyphens/>
              <w:jc w:val="both"/>
              <w:rPr>
                <w:b/>
                <w:spacing w:val="-3"/>
              </w:rPr>
            </w:pPr>
            <w:r>
              <w:fldChar w:fldCharType="begin">
                <w:ffData>
                  <w:name w:val=""/>
                  <w:enabled/>
                  <w:calcOnExit w:val="0"/>
                  <w:checkBox>
                    <w:sizeAuto/>
                    <w:default w:val="1"/>
                  </w:checkBox>
                </w:ffData>
              </w:fldChar>
            </w:r>
            <w:r>
              <w:instrText xml:space="preserve"> FORMCHECKBOX </w:instrText>
            </w:r>
            <w:r w:rsidR="00BA7646">
              <w:fldChar w:fldCharType="separate"/>
            </w:r>
            <w:r>
              <w:fldChar w:fldCharType="end"/>
            </w:r>
            <w:r w:rsidR="00584237" w:rsidRPr="00A96454">
              <w:tab/>
            </w:r>
            <w:r w:rsidR="00584237" w:rsidRPr="00A96454">
              <w:rPr>
                <w:spacing w:val="-3"/>
              </w:rPr>
              <w:t xml:space="preserve">IRF </w:t>
            </w:r>
          </w:p>
          <w:p w14:paraId="1FD58F2A" w14:textId="21C2FA64" w:rsidR="00584237" w:rsidRPr="00A96454" w:rsidRDefault="00584237" w:rsidP="00D570C5">
            <w:pPr>
              <w:tabs>
                <w:tab w:val="left" w:pos="0"/>
              </w:tabs>
              <w:suppressAutoHyphens/>
              <w:jc w:val="both"/>
            </w:pPr>
            <w:r w:rsidRPr="00A96454">
              <w:fldChar w:fldCharType="begin">
                <w:ffData>
                  <w:name w:val="Check1"/>
                  <w:enabled/>
                  <w:calcOnExit w:val="0"/>
                  <w:checkBox>
                    <w:sizeAuto/>
                    <w:default w:val="0"/>
                  </w:checkBox>
                </w:ffData>
              </w:fldChar>
            </w:r>
            <w:r w:rsidRPr="00A96454">
              <w:instrText xml:space="preserve"> FORMCHECKBOX </w:instrText>
            </w:r>
            <w:r w:rsidR="00BA7646">
              <w:fldChar w:fldCharType="separate"/>
            </w:r>
            <w:r w:rsidRPr="00A96454">
              <w:fldChar w:fldCharType="end"/>
            </w:r>
            <w:r w:rsidRPr="00A96454">
              <w:tab/>
              <w:t xml:space="preserve">PRF </w:t>
            </w:r>
          </w:p>
        </w:tc>
        <w:tc>
          <w:tcPr>
            <w:tcW w:w="7168" w:type="dxa"/>
            <w:gridSpan w:val="3"/>
          </w:tcPr>
          <w:p w14:paraId="5EE1F9D3" w14:textId="77777777" w:rsidR="00584237" w:rsidRPr="00A96454" w:rsidRDefault="00584237" w:rsidP="00D570C5">
            <w:pPr>
              <w:pStyle w:val="BalloonText"/>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14:paraId="1E39FD01" w14:textId="77777777" w:rsidR="00584237" w:rsidRPr="00A96454" w:rsidRDefault="00584237" w:rsidP="00D570C5">
            <w:pPr>
              <w:tabs>
                <w:tab w:val="left" w:pos="0"/>
              </w:tabs>
              <w:suppressAutoHyphens/>
              <w:jc w:val="both"/>
              <w:rPr>
                <w:b/>
                <w:spacing w:val="-3"/>
              </w:rPr>
            </w:pPr>
            <w:r w:rsidRPr="00A96454">
              <w:fldChar w:fldCharType="begin">
                <w:ffData>
                  <w:name w:val="Check1"/>
                  <w:enabled/>
                  <w:calcOnExit w:val="0"/>
                  <w:checkBox>
                    <w:sizeAuto/>
                    <w:default w:val="0"/>
                  </w:checkBox>
                </w:ffData>
              </w:fldChar>
            </w:r>
            <w:r w:rsidRPr="00A96454">
              <w:instrText xml:space="preserve"> FORMCHECKBOX </w:instrText>
            </w:r>
            <w:r w:rsidR="00BA7646">
              <w:fldChar w:fldCharType="separate"/>
            </w:r>
            <w:r w:rsidRPr="00A96454">
              <w:fldChar w:fldCharType="end"/>
            </w:r>
            <w:r w:rsidRPr="00A96454">
              <w:tab/>
            </w:r>
            <w:r w:rsidRPr="00A96454">
              <w:tab/>
            </w:r>
            <w:r w:rsidRPr="00A96454">
              <w:rPr>
                <w:spacing w:val="-3"/>
              </w:rPr>
              <w:t>Country Trust Fund</w:t>
            </w:r>
            <w:r w:rsidRPr="00A96454">
              <w:rPr>
                <w:b/>
                <w:spacing w:val="-3"/>
              </w:rPr>
              <w:t xml:space="preserve"> </w:t>
            </w:r>
          </w:p>
          <w:p w14:paraId="31ABD1AD" w14:textId="77777777" w:rsidR="00584237" w:rsidRPr="00A96454" w:rsidRDefault="00584237" w:rsidP="00D570C5">
            <w:pPr>
              <w:tabs>
                <w:tab w:val="left" w:pos="0"/>
              </w:tabs>
              <w:suppressAutoHyphens/>
              <w:jc w:val="both"/>
              <w:rPr>
                <w:b/>
              </w:rPr>
            </w:pPr>
            <w:r w:rsidRPr="00A96454">
              <w:fldChar w:fldCharType="begin">
                <w:ffData>
                  <w:name w:val="Check1"/>
                  <w:enabled/>
                  <w:calcOnExit w:val="0"/>
                  <w:checkBox>
                    <w:sizeAuto/>
                    <w:default w:val="0"/>
                  </w:checkBox>
                </w:ffData>
              </w:fldChar>
            </w:r>
            <w:r w:rsidRPr="00A96454">
              <w:instrText xml:space="preserve"> FORMCHECKBOX </w:instrText>
            </w:r>
            <w:r w:rsidR="00BA7646">
              <w:fldChar w:fldCharType="separate"/>
            </w:r>
            <w:r w:rsidRPr="00A96454">
              <w:fldChar w:fldCharType="end"/>
            </w:r>
            <w:r w:rsidRPr="00A96454">
              <w:tab/>
            </w:r>
            <w:r w:rsidRPr="00A96454">
              <w:tab/>
              <w:t>Regional Trust Fund</w:t>
            </w:r>
            <w:r w:rsidRPr="00A96454">
              <w:rPr>
                <w:b/>
              </w:rPr>
              <w:t xml:space="preserve"> </w:t>
            </w:r>
          </w:p>
          <w:p w14:paraId="5B6D1217" w14:textId="0B4D367A" w:rsidR="00584237" w:rsidRDefault="00584237" w:rsidP="00D570C5">
            <w:pPr>
              <w:pStyle w:val="BalloonText"/>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r w:rsidR="004F164B">
              <w:rPr>
                <w:rFonts w:ascii="Times New Roman" w:hAnsi="Times New Roman" w:cs="Times New Roman"/>
                <w:b/>
                <w:sz w:val="24"/>
                <w:szCs w:val="24"/>
              </w:rPr>
              <w:t>n/a</w:t>
            </w:r>
          </w:p>
          <w:p w14:paraId="2797AA2C" w14:textId="434F7CA1" w:rsidR="00973AE1" w:rsidRPr="00A1035E" w:rsidRDefault="00973AE1" w:rsidP="00D570C5">
            <w:pPr>
              <w:pStyle w:val="BalloonText"/>
              <w:numPr>
                <w:ilvl w:val="12"/>
                <w:numId w:val="0"/>
              </w:numPr>
              <w:tabs>
                <w:tab w:val="left" w:pos="-720"/>
                <w:tab w:val="left" w:pos="4500"/>
              </w:tabs>
              <w:rPr>
                <w:rFonts w:ascii="Times New Roman" w:hAnsi="Times New Roman" w:cs="Times New Roman"/>
                <w:b/>
                <w:sz w:val="24"/>
                <w:szCs w:val="24"/>
              </w:rPr>
            </w:pPr>
          </w:p>
        </w:tc>
      </w:tr>
      <w:tr w:rsidR="000F510B" w:rsidRPr="00A96454" w14:paraId="0F9047FA" w14:textId="77777777" w:rsidTr="1534F9D4">
        <w:trPr>
          <w:trHeight w:val="368"/>
        </w:trPr>
        <w:tc>
          <w:tcPr>
            <w:tcW w:w="10080" w:type="dxa"/>
            <w:gridSpan w:val="4"/>
          </w:tcPr>
          <w:p w14:paraId="5F5A5795" w14:textId="27273115" w:rsidR="000F510B" w:rsidRDefault="000F510B" w:rsidP="00D570C5">
            <w:pPr>
              <w:rPr>
                <w:b/>
                <w:bCs/>
                <w:iCs/>
              </w:rPr>
            </w:pPr>
            <w:r>
              <w:rPr>
                <w:b/>
                <w:bCs/>
                <w:iCs/>
              </w:rPr>
              <w:t>List all direct project recipient organizations</w:t>
            </w:r>
            <w:r w:rsidR="00D649CA">
              <w:rPr>
                <w:b/>
                <w:bCs/>
                <w:iCs/>
              </w:rPr>
              <w:t xml:space="preserve"> (</w:t>
            </w:r>
            <w:r w:rsidR="00D649CA" w:rsidRPr="00185B5A">
              <w:rPr>
                <w:b/>
                <w:bCs/>
                <w:iCs/>
                <w:sz w:val="22"/>
                <w:szCs w:val="22"/>
              </w:rPr>
              <w:t>starting with Convening Agency</w:t>
            </w:r>
            <w:r w:rsidR="00D649CA">
              <w:rPr>
                <w:b/>
                <w:bCs/>
                <w:iCs/>
                <w:sz w:val="22"/>
                <w:szCs w:val="22"/>
              </w:rPr>
              <w:t>)</w:t>
            </w:r>
            <w:r>
              <w:rPr>
                <w:b/>
                <w:bCs/>
                <w:iCs/>
              </w:rPr>
              <w:t xml:space="preserve">, </w:t>
            </w:r>
            <w:r w:rsidR="00973AE1">
              <w:rPr>
                <w:b/>
                <w:bCs/>
                <w:iCs/>
              </w:rPr>
              <w:t>followed</w:t>
            </w:r>
            <w:r>
              <w:rPr>
                <w:b/>
                <w:bCs/>
                <w:iCs/>
              </w:rPr>
              <w:t xml:space="preserve"> type of organization</w:t>
            </w:r>
            <w:r w:rsidR="00973AE1">
              <w:rPr>
                <w:b/>
                <w:bCs/>
                <w:iCs/>
              </w:rPr>
              <w:t xml:space="preserve"> (UN, CSO </w:t>
            </w:r>
            <w:proofErr w:type="spellStart"/>
            <w:r w:rsidR="00973AE1">
              <w:rPr>
                <w:b/>
                <w:bCs/>
                <w:iCs/>
              </w:rPr>
              <w:t>etc</w:t>
            </w:r>
            <w:proofErr w:type="spellEnd"/>
            <w:r w:rsidR="00973AE1">
              <w:rPr>
                <w:b/>
                <w:bCs/>
                <w:iCs/>
              </w:rPr>
              <w:t>)</w:t>
            </w:r>
            <w:r>
              <w:rPr>
                <w:b/>
                <w:bCs/>
                <w:iCs/>
              </w:rPr>
              <w:t>:</w:t>
            </w:r>
            <w:r w:rsidR="000620B0">
              <w:rPr>
                <w:b/>
                <w:bCs/>
                <w:iCs/>
              </w:rPr>
              <w:t xml:space="preserve"> </w:t>
            </w:r>
            <w:r w:rsidR="000620B0">
              <w:rPr>
                <w:bCs/>
                <w:iCs/>
              </w:rPr>
              <w:t>UNDP/UNV, UNICEF, UN Women</w:t>
            </w:r>
          </w:p>
          <w:p w14:paraId="26FF082D" w14:textId="2AB431F7" w:rsidR="000F510B" w:rsidRDefault="000F510B" w:rsidP="00D570C5">
            <w:pPr>
              <w:rPr>
                <w:b/>
                <w:bCs/>
                <w:iCs/>
              </w:rPr>
            </w:pPr>
            <w:r>
              <w:rPr>
                <w:b/>
                <w:bCs/>
                <w:iCs/>
              </w:rPr>
              <w:t>List additional implementing partners, Governmental and non-Governmental:</w:t>
            </w:r>
            <w:r w:rsidR="004F164B">
              <w:rPr>
                <w:b/>
                <w:bCs/>
                <w:iCs/>
              </w:rPr>
              <w:t xml:space="preserve"> </w:t>
            </w:r>
          </w:p>
          <w:p w14:paraId="49A6657D" w14:textId="37089574" w:rsidR="000F510B" w:rsidRDefault="000F510B" w:rsidP="00D570C5">
            <w:pPr>
              <w:rPr>
                <w:b/>
                <w:bCs/>
                <w:iCs/>
              </w:rPr>
            </w:pPr>
          </w:p>
        </w:tc>
      </w:tr>
      <w:tr w:rsidR="00584237" w:rsidRPr="00A96454" w14:paraId="57B97449" w14:textId="77777777" w:rsidTr="1534F9D4">
        <w:trPr>
          <w:trHeight w:val="368"/>
        </w:trPr>
        <w:tc>
          <w:tcPr>
            <w:tcW w:w="10080" w:type="dxa"/>
            <w:gridSpan w:val="4"/>
          </w:tcPr>
          <w:p w14:paraId="13A1CE87" w14:textId="0ED730DE" w:rsidR="00584237" w:rsidRDefault="00584237" w:rsidP="00D570C5">
            <w:pPr>
              <w:rPr>
                <w:b/>
                <w:bCs/>
                <w:iCs/>
              </w:rPr>
            </w:pPr>
            <w:r>
              <w:rPr>
                <w:b/>
                <w:bCs/>
                <w:iCs/>
              </w:rPr>
              <w:t>Expected p</w:t>
            </w:r>
            <w:r w:rsidRPr="00A96454">
              <w:rPr>
                <w:b/>
                <w:bCs/>
                <w:iCs/>
              </w:rPr>
              <w:t xml:space="preserve">roject commencement </w:t>
            </w:r>
            <w:r>
              <w:rPr>
                <w:b/>
                <w:bCs/>
                <w:iCs/>
              </w:rPr>
              <w:t>date</w:t>
            </w:r>
            <w:r>
              <w:rPr>
                <w:rStyle w:val="FootnoteReference"/>
                <w:b/>
                <w:bCs/>
                <w:iCs/>
              </w:rPr>
              <w:footnoteReference w:id="3"/>
            </w:r>
            <w:r>
              <w:rPr>
                <w:b/>
                <w:bCs/>
                <w:iCs/>
              </w:rPr>
              <w:t>:</w:t>
            </w:r>
            <w:r w:rsidR="000620B0">
              <w:rPr>
                <w:b/>
                <w:bCs/>
                <w:iCs/>
              </w:rPr>
              <w:t xml:space="preserve"> </w:t>
            </w:r>
            <w:r w:rsidR="000620B0" w:rsidRPr="007212CC">
              <w:rPr>
                <w:bCs/>
                <w:iCs/>
              </w:rPr>
              <w:t>01 January 2019</w:t>
            </w:r>
            <w:r w:rsidR="007212CC">
              <w:rPr>
                <w:bCs/>
                <w:iCs/>
              </w:rPr>
              <w:t xml:space="preserve"> (TBC)</w:t>
            </w:r>
          </w:p>
          <w:p w14:paraId="3EC91F01" w14:textId="56464AE6" w:rsidR="00584237" w:rsidRDefault="00584237" w:rsidP="00D570C5">
            <w:pPr>
              <w:rPr>
                <w:b/>
                <w:bCs/>
                <w:iCs/>
              </w:rPr>
            </w:pPr>
            <w:r>
              <w:rPr>
                <w:b/>
                <w:bCs/>
                <w:iCs/>
              </w:rPr>
              <w:t>Project duration</w:t>
            </w:r>
            <w:r w:rsidR="00DC26A6">
              <w:rPr>
                <w:b/>
                <w:bCs/>
                <w:iCs/>
              </w:rPr>
              <w:t xml:space="preserve"> in months</w:t>
            </w:r>
            <w:r>
              <w:rPr>
                <w:b/>
                <w:bCs/>
                <w:iCs/>
              </w:rPr>
              <w:t>:</w:t>
            </w:r>
            <w:r>
              <w:rPr>
                <w:rStyle w:val="FootnoteReference"/>
                <w:b/>
                <w:bCs/>
                <w:iCs/>
              </w:rPr>
              <w:footnoteReference w:id="4"/>
            </w:r>
            <w:r w:rsidR="000620B0">
              <w:rPr>
                <w:b/>
                <w:bCs/>
                <w:iCs/>
              </w:rPr>
              <w:t xml:space="preserve"> </w:t>
            </w:r>
            <w:r w:rsidR="000620B0" w:rsidRPr="000620B0">
              <w:rPr>
                <w:bCs/>
                <w:iCs/>
              </w:rPr>
              <w:t>18 months</w:t>
            </w:r>
          </w:p>
          <w:p w14:paraId="2EDEFA27" w14:textId="6BDD806E" w:rsidR="00D649CA" w:rsidRDefault="00D649CA" w:rsidP="00D570C5">
            <w:pPr>
              <w:rPr>
                <w:b/>
                <w:bCs/>
                <w:iCs/>
              </w:rPr>
            </w:pPr>
            <w:r>
              <w:rPr>
                <w:b/>
                <w:bCs/>
                <w:iCs/>
              </w:rPr>
              <w:t>Geographic zones for project implementation:</w:t>
            </w:r>
            <w:r w:rsidR="000620B0">
              <w:rPr>
                <w:b/>
                <w:bCs/>
                <w:iCs/>
              </w:rPr>
              <w:t xml:space="preserve"> </w:t>
            </w:r>
            <w:r w:rsidR="000620B0">
              <w:rPr>
                <w:bCs/>
                <w:iCs/>
              </w:rPr>
              <w:t xml:space="preserve">Kosovo, </w:t>
            </w:r>
            <w:proofErr w:type="spellStart"/>
            <w:r w:rsidR="000620B0">
              <w:rPr>
                <w:bCs/>
                <w:iCs/>
              </w:rPr>
              <w:t>Prishtinë</w:t>
            </w:r>
            <w:proofErr w:type="spellEnd"/>
            <w:r w:rsidR="000620B0">
              <w:rPr>
                <w:bCs/>
                <w:iCs/>
              </w:rPr>
              <w:t>/</w:t>
            </w:r>
            <w:proofErr w:type="spellStart"/>
            <w:r w:rsidR="000620B0">
              <w:rPr>
                <w:bCs/>
                <w:iCs/>
              </w:rPr>
              <w:t>Priština</w:t>
            </w:r>
            <w:proofErr w:type="spellEnd"/>
            <w:r w:rsidR="000620B0">
              <w:rPr>
                <w:bCs/>
                <w:iCs/>
              </w:rPr>
              <w:t xml:space="preserve"> and </w:t>
            </w:r>
            <w:proofErr w:type="spellStart"/>
            <w:r w:rsidR="000620B0">
              <w:rPr>
                <w:bCs/>
                <w:iCs/>
              </w:rPr>
              <w:t>Mitrovicë</w:t>
            </w:r>
            <w:proofErr w:type="spellEnd"/>
            <w:r w:rsidR="000620B0">
              <w:rPr>
                <w:bCs/>
                <w:iCs/>
              </w:rPr>
              <w:t>/a Regions</w:t>
            </w:r>
          </w:p>
          <w:p w14:paraId="36FB09F3" w14:textId="4C59DF79" w:rsidR="00D649CA" w:rsidRPr="00A96454" w:rsidRDefault="00D649CA" w:rsidP="00D570C5">
            <w:pPr>
              <w:rPr>
                <w:b/>
                <w:bCs/>
                <w:iCs/>
              </w:rPr>
            </w:pPr>
          </w:p>
        </w:tc>
      </w:tr>
      <w:tr w:rsidR="00D649CA" w:rsidRPr="00A96454" w14:paraId="598D42AC" w14:textId="77777777" w:rsidTr="1534F9D4">
        <w:trPr>
          <w:trHeight w:val="368"/>
        </w:trPr>
        <w:tc>
          <w:tcPr>
            <w:tcW w:w="10080" w:type="dxa"/>
            <w:gridSpan w:val="4"/>
          </w:tcPr>
          <w:p w14:paraId="7B3B48A8" w14:textId="77777777" w:rsidR="00D649CA" w:rsidRDefault="00D649CA" w:rsidP="00D570C5">
            <w:pPr>
              <w:rPr>
                <w:b/>
                <w:bCs/>
                <w:iCs/>
              </w:rPr>
            </w:pPr>
            <w:r>
              <w:rPr>
                <w:b/>
                <w:bCs/>
                <w:iCs/>
              </w:rPr>
              <w:t xml:space="preserve">Does the project fall under one of the specific PBF priority windows </w:t>
            </w:r>
            <w:proofErr w:type="gramStart"/>
            <w:r>
              <w:rPr>
                <w:b/>
                <w:bCs/>
                <w:iCs/>
              </w:rPr>
              <w:t>below:</w:t>
            </w:r>
            <w:proofErr w:type="gramEnd"/>
          </w:p>
          <w:p w14:paraId="68B63DAE" w14:textId="5C3E6A5D" w:rsidR="00D649CA" w:rsidRDefault="00C26CE8" w:rsidP="00D570C5">
            <w:r>
              <w:fldChar w:fldCharType="begin">
                <w:ffData>
                  <w:name w:val=""/>
                  <w:enabled/>
                  <w:calcOnExit w:val="0"/>
                  <w:checkBox>
                    <w:sizeAuto/>
                    <w:default w:val="0"/>
                  </w:checkBox>
                </w:ffData>
              </w:fldChar>
            </w:r>
            <w:r>
              <w:instrText xml:space="preserve"> FORMCHECKBOX </w:instrText>
            </w:r>
            <w:r w:rsidR="00BA7646">
              <w:fldChar w:fldCharType="separate"/>
            </w:r>
            <w:r>
              <w:fldChar w:fldCharType="end"/>
            </w:r>
            <w:r w:rsidR="00D649CA">
              <w:t xml:space="preserve"> Gender promotion initiative</w:t>
            </w:r>
          </w:p>
          <w:p w14:paraId="1B54CDC8" w14:textId="17AA3D4E" w:rsidR="00D649CA" w:rsidRDefault="00C26CE8" w:rsidP="00D570C5">
            <w:r>
              <w:fldChar w:fldCharType="begin">
                <w:ffData>
                  <w:name w:val=""/>
                  <w:enabled/>
                  <w:calcOnExit w:val="0"/>
                  <w:checkBox>
                    <w:sizeAuto/>
                    <w:default w:val="0"/>
                  </w:checkBox>
                </w:ffData>
              </w:fldChar>
            </w:r>
            <w:r>
              <w:instrText xml:space="preserve"> FORMCHECKBOX </w:instrText>
            </w:r>
            <w:r w:rsidR="00BA7646">
              <w:fldChar w:fldCharType="separate"/>
            </w:r>
            <w:r>
              <w:fldChar w:fldCharType="end"/>
            </w:r>
            <w:r w:rsidR="00D649CA">
              <w:t xml:space="preserve"> Youth promotion initiative</w:t>
            </w:r>
          </w:p>
          <w:p w14:paraId="2584F08A" w14:textId="77777777" w:rsidR="00D649CA" w:rsidRDefault="00D649CA" w:rsidP="00D570C5">
            <w:r w:rsidRPr="00A96454">
              <w:fldChar w:fldCharType="begin">
                <w:ffData>
                  <w:name w:val=""/>
                  <w:enabled/>
                  <w:calcOnExit w:val="0"/>
                  <w:checkBox>
                    <w:sizeAuto/>
                    <w:default w:val="0"/>
                  </w:checkBox>
                </w:ffData>
              </w:fldChar>
            </w:r>
            <w:r w:rsidRPr="00A96454">
              <w:instrText xml:space="preserve"> FORMCHECKBOX </w:instrText>
            </w:r>
            <w:r w:rsidR="00BA7646">
              <w:fldChar w:fldCharType="separate"/>
            </w:r>
            <w:r w:rsidRPr="00A96454">
              <w:fldChar w:fldCharType="end"/>
            </w:r>
            <w:r>
              <w:t xml:space="preserve"> Transition from UN or regional peacekeeping or special political missions</w:t>
            </w:r>
          </w:p>
          <w:p w14:paraId="3F2820CB" w14:textId="77777777" w:rsidR="00D649CA" w:rsidRDefault="00D649CA" w:rsidP="00D570C5">
            <w:r w:rsidRPr="00A96454">
              <w:fldChar w:fldCharType="begin">
                <w:ffData>
                  <w:name w:val=""/>
                  <w:enabled/>
                  <w:calcOnExit w:val="0"/>
                  <w:checkBox>
                    <w:sizeAuto/>
                    <w:default w:val="0"/>
                  </w:checkBox>
                </w:ffData>
              </w:fldChar>
            </w:r>
            <w:r w:rsidRPr="00A96454">
              <w:instrText xml:space="preserve"> FORMCHECKBOX </w:instrText>
            </w:r>
            <w:r w:rsidR="00BA7646">
              <w:fldChar w:fldCharType="separate"/>
            </w:r>
            <w:r w:rsidRPr="00A96454">
              <w:fldChar w:fldCharType="end"/>
            </w:r>
            <w:r>
              <w:t xml:space="preserve"> Cross-border or regional project</w:t>
            </w:r>
          </w:p>
          <w:p w14:paraId="1FAD61CA" w14:textId="31E87DA0" w:rsidR="00D649CA" w:rsidRDefault="00D649CA" w:rsidP="00D570C5">
            <w:pPr>
              <w:rPr>
                <w:b/>
                <w:bCs/>
                <w:iCs/>
              </w:rPr>
            </w:pPr>
          </w:p>
        </w:tc>
      </w:tr>
      <w:tr w:rsidR="00584237" w:rsidRPr="00A96454" w14:paraId="008298DA" w14:textId="77777777" w:rsidTr="1534F9D4">
        <w:trPr>
          <w:trHeight w:val="1124"/>
        </w:trPr>
        <w:tc>
          <w:tcPr>
            <w:tcW w:w="10080" w:type="dxa"/>
            <w:gridSpan w:val="4"/>
          </w:tcPr>
          <w:p w14:paraId="00AF07EA" w14:textId="13C185C2" w:rsidR="00584237" w:rsidRPr="00A96454" w:rsidRDefault="00DC26A6" w:rsidP="00D570C5">
            <w:pPr>
              <w:rPr>
                <w:b/>
                <w:bCs/>
                <w:iCs/>
              </w:rPr>
            </w:pPr>
            <w:r>
              <w:rPr>
                <w:b/>
                <w:bCs/>
                <w:iCs/>
              </w:rPr>
              <w:t xml:space="preserve">Total </w:t>
            </w:r>
            <w:r w:rsidR="00584237" w:rsidRPr="00A96454">
              <w:rPr>
                <w:b/>
                <w:bCs/>
                <w:iCs/>
              </w:rPr>
              <w:t xml:space="preserve">PBF </w:t>
            </w:r>
            <w:r w:rsidR="00AE3EFB">
              <w:rPr>
                <w:b/>
                <w:bCs/>
                <w:iCs/>
              </w:rPr>
              <w:t xml:space="preserve">approved </w:t>
            </w:r>
            <w:r w:rsidR="00584237" w:rsidRPr="00A96454">
              <w:rPr>
                <w:b/>
                <w:bCs/>
                <w:iCs/>
              </w:rPr>
              <w:t>project budget</w:t>
            </w:r>
            <w:r w:rsidR="00584237">
              <w:rPr>
                <w:b/>
                <w:bCs/>
                <w:iCs/>
              </w:rPr>
              <w:t>*</w:t>
            </w:r>
            <w:r w:rsidR="00584237" w:rsidRPr="00A96454">
              <w:rPr>
                <w:b/>
                <w:bCs/>
                <w:iCs/>
              </w:rPr>
              <w:t xml:space="preserve"> </w:t>
            </w:r>
            <w:r w:rsidR="00584237" w:rsidRPr="00185B5A">
              <w:rPr>
                <w:b/>
                <w:bCs/>
                <w:iCs/>
                <w:sz w:val="22"/>
                <w:szCs w:val="22"/>
              </w:rPr>
              <w:t>(by recipient organization)</w:t>
            </w:r>
            <w:r w:rsidR="00584237" w:rsidRPr="00A96454">
              <w:rPr>
                <w:b/>
                <w:bCs/>
                <w:iCs/>
              </w:rPr>
              <w:t xml:space="preserve">: </w:t>
            </w:r>
          </w:p>
          <w:p w14:paraId="55CF44FE" w14:textId="313CC561" w:rsidR="00584237" w:rsidRPr="004F164B" w:rsidRDefault="1534F9D4" w:rsidP="00D570C5">
            <w:pPr>
              <w:rPr>
                <w:iCs/>
              </w:rPr>
            </w:pPr>
            <w:r w:rsidRPr="1534F9D4">
              <w:rPr>
                <w:b/>
                <w:bCs/>
              </w:rPr>
              <w:t>UNDP &amp; UNV:</w:t>
            </w:r>
            <w:r w:rsidR="00EA46BA">
              <w:rPr>
                <w:b/>
                <w:bCs/>
              </w:rPr>
              <w:t xml:space="preserve"> </w:t>
            </w:r>
            <w:r w:rsidR="00EA46BA" w:rsidRPr="00EA46BA">
              <w:rPr>
                <w:bCs/>
              </w:rPr>
              <w:t>$</w:t>
            </w:r>
            <w:r w:rsidRPr="1534F9D4">
              <w:rPr>
                <w:b/>
                <w:bCs/>
              </w:rPr>
              <w:t xml:space="preserve"> </w:t>
            </w:r>
            <w:r w:rsidR="00EA46BA" w:rsidRPr="00EA46BA">
              <w:rPr>
                <w:iCs/>
              </w:rPr>
              <w:t>1</w:t>
            </w:r>
            <w:r w:rsidR="00EA46BA">
              <w:rPr>
                <w:iCs/>
              </w:rPr>
              <w:t>,</w:t>
            </w:r>
            <w:r w:rsidR="00EA46BA" w:rsidRPr="00EA46BA">
              <w:rPr>
                <w:iCs/>
              </w:rPr>
              <w:t>430</w:t>
            </w:r>
            <w:r w:rsidR="00EA46BA">
              <w:rPr>
                <w:iCs/>
              </w:rPr>
              <w:t>,</w:t>
            </w:r>
            <w:r w:rsidR="00EA46BA" w:rsidRPr="00EA46BA">
              <w:rPr>
                <w:iCs/>
              </w:rPr>
              <w:t>000</w:t>
            </w:r>
          </w:p>
          <w:p w14:paraId="0B96ABD4" w14:textId="5E30E09A" w:rsidR="00584237" w:rsidRPr="004F164B" w:rsidRDefault="1534F9D4" w:rsidP="1534F9D4">
            <w:pPr>
              <w:pStyle w:val="BalloonText"/>
              <w:tabs>
                <w:tab w:val="left" w:pos="-720"/>
                <w:tab w:val="left" w:pos="4500"/>
              </w:tabs>
              <w:suppressAutoHyphens/>
              <w:rPr>
                <w:rFonts w:ascii="Times New Roman" w:hAnsi="Times New Roman" w:cs="Times New Roman"/>
                <w:sz w:val="24"/>
                <w:szCs w:val="24"/>
              </w:rPr>
            </w:pPr>
            <w:r w:rsidRPr="1534F9D4">
              <w:rPr>
                <w:rFonts w:ascii="Times New Roman" w:hAnsi="Times New Roman" w:cs="Times New Roman"/>
                <w:b/>
                <w:bCs/>
                <w:sz w:val="24"/>
                <w:szCs w:val="24"/>
              </w:rPr>
              <w:t>UNICEF</w:t>
            </w:r>
            <w:r w:rsidRPr="1534F9D4">
              <w:rPr>
                <w:rFonts w:ascii="Times New Roman" w:hAnsi="Times New Roman" w:cs="Times New Roman"/>
                <w:sz w:val="24"/>
                <w:szCs w:val="24"/>
              </w:rPr>
              <w:t xml:space="preserve">: </w:t>
            </w:r>
            <w:r w:rsidR="0089571F">
              <w:rPr>
                <w:rFonts w:ascii="Times New Roman" w:hAnsi="Times New Roman" w:cs="Times New Roman"/>
                <w:sz w:val="24"/>
                <w:szCs w:val="24"/>
              </w:rPr>
              <w:t>$</w:t>
            </w:r>
            <w:r w:rsidR="009648F9">
              <w:rPr>
                <w:rFonts w:ascii="Times New Roman" w:hAnsi="Times New Roman" w:cs="Times New Roman"/>
                <w:sz w:val="24"/>
                <w:szCs w:val="24"/>
              </w:rPr>
              <w:t xml:space="preserve"> </w:t>
            </w:r>
            <w:r w:rsidR="0089571F">
              <w:rPr>
                <w:rFonts w:ascii="Times New Roman" w:hAnsi="Times New Roman" w:cs="Times New Roman"/>
                <w:sz w:val="24"/>
                <w:szCs w:val="24"/>
              </w:rPr>
              <w:t>7</w:t>
            </w:r>
            <w:r w:rsidR="00BA2990">
              <w:rPr>
                <w:rFonts w:ascii="Times New Roman" w:hAnsi="Times New Roman" w:cs="Times New Roman"/>
                <w:sz w:val="24"/>
                <w:szCs w:val="24"/>
              </w:rPr>
              <w:t>92</w:t>
            </w:r>
            <w:r w:rsidR="0089571F">
              <w:rPr>
                <w:rFonts w:ascii="Times New Roman" w:hAnsi="Times New Roman" w:cs="Times New Roman"/>
                <w:sz w:val="24"/>
                <w:szCs w:val="24"/>
              </w:rPr>
              <w:t>,</w:t>
            </w:r>
            <w:r w:rsidR="00BA2990">
              <w:rPr>
                <w:rFonts w:ascii="Times New Roman" w:hAnsi="Times New Roman" w:cs="Times New Roman"/>
                <w:sz w:val="24"/>
                <w:szCs w:val="24"/>
              </w:rPr>
              <w:t>8</w:t>
            </w:r>
            <w:r w:rsidR="0089571F">
              <w:rPr>
                <w:rFonts w:ascii="Times New Roman" w:hAnsi="Times New Roman" w:cs="Times New Roman"/>
                <w:sz w:val="24"/>
                <w:szCs w:val="24"/>
              </w:rPr>
              <w:t>00</w:t>
            </w:r>
          </w:p>
          <w:p w14:paraId="140BA297" w14:textId="1F2F3E61" w:rsidR="00584237" w:rsidRDefault="1534F9D4" w:rsidP="1534F9D4">
            <w:pPr>
              <w:pStyle w:val="BalloonText"/>
              <w:tabs>
                <w:tab w:val="left" w:pos="-720"/>
                <w:tab w:val="left" w:pos="4500"/>
              </w:tabs>
              <w:suppressAutoHyphens/>
              <w:rPr>
                <w:rFonts w:ascii="Times New Roman" w:hAnsi="Times New Roman" w:cs="Times New Roman"/>
                <w:sz w:val="24"/>
                <w:szCs w:val="24"/>
              </w:rPr>
            </w:pPr>
            <w:r w:rsidRPr="1534F9D4">
              <w:rPr>
                <w:rFonts w:ascii="Times New Roman" w:hAnsi="Times New Roman" w:cs="Times New Roman"/>
                <w:b/>
                <w:bCs/>
                <w:sz w:val="24"/>
                <w:szCs w:val="24"/>
              </w:rPr>
              <w:t>UN Women</w:t>
            </w:r>
            <w:r w:rsidRPr="1534F9D4">
              <w:rPr>
                <w:rFonts w:ascii="Times New Roman" w:hAnsi="Times New Roman" w:cs="Times New Roman"/>
                <w:sz w:val="24"/>
                <w:szCs w:val="24"/>
              </w:rPr>
              <w:t xml:space="preserve">: </w:t>
            </w:r>
            <w:r w:rsidR="00DC727B">
              <w:rPr>
                <w:rFonts w:ascii="Times New Roman" w:hAnsi="Times New Roman" w:cs="Times New Roman"/>
                <w:sz w:val="24"/>
                <w:szCs w:val="24"/>
              </w:rPr>
              <w:t>$ 549,980</w:t>
            </w:r>
          </w:p>
          <w:p w14:paraId="30C0D0F2" w14:textId="4C226655" w:rsidR="000E7B43" w:rsidRDefault="1534F9D4" w:rsidP="1534F9D4">
            <w:pPr>
              <w:pStyle w:val="BalloonText"/>
              <w:tabs>
                <w:tab w:val="left" w:pos="-720"/>
                <w:tab w:val="left" w:pos="4500"/>
              </w:tabs>
              <w:suppressAutoHyphens/>
              <w:rPr>
                <w:rFonts w:ascii="Times New Roman" w:hAnsi="Times New Roman" w:cs="Times New Roman"/>
                <w:sz w:val="24"/>
                <w:szCs w:val="24"/>
              </w:rPr>
            </w:pPr>
            <w:r w:rsidRPr="001F6925">
              <w:rPr>
                <w:rFonts w:ascii="Times New Roman" w:hAnsi="Times New Roman" w:cs="Times New Roman"/>
                <w:b/>
                <w:sz w:val="24"/>
                <w:szCs w:val="24"/>
              </w:rPr>
              <w:t>Total</w:t>
            </w:r>
            <w:r w:rsidRPr="1534F9D4">
              <w:rPr>
                <w:rFonts w:ascii="Times New Roman" w:hAnsi="Times New Roman" w:cs="Times New Roman"/>
                <w:sz w:val="24"/>
                <w:szCs w:val="24"/>
              </w:rPr>
              <w:t xml:space="preserve">: </w:t>
            </w:r>
            <w:r w:rsidR="00EA46BA">
              <w:rPr>
                <w:rFonts w:ascii="Times New Roman" w:hAnsi="Times New Roman" w:cs="Times New Roman"/>
                <w:sz w:val="24"/>
                <w:szCs w:val="24"/>
              </w:rPr>
              <w:t xml:space="preserve">$ </w:t>
            </w:r>
            <w:r w:rsidR="00EA46BA" w:rsidRPr="00EA46BA">
              <w:rPr>
                <w:rFonts w:ascii="Times New Roman" w:hAnsi="Times New Roman" w:cs="Times New Roman"/>
                <w:sz w:val="24"/>
                <w:szCs w:val="24"/>
              </w:rPr>
              <w:t>2</w:t>
            </w:r>
            <w:r w:rsidR="00EA46BA">
              <w:rPr>
                <w:rFonts w:ascii="Times New Roman" w:hAnsi="Times New Roman" w:cs="Times New Roman"/>
                <w:sz w:val="24"/>
                <w:szCs w:val="24"/>
              </w:rPr>
              <w:t>,</w:t>
            </w:r>
            <w:r w:rsidR="00EA46BA" w:rsidRPr="00EA46BA">
              <w:rPr>
                <w:rFonts w:ascii="Times New Roman" w:hAnsi="Times New Roman" w:cs="Times New Roman"/>
                <w:sz w:val="24"/>
                <w:szCs w:val="24"/>
              </w:rPr>
              <w:t>7</w:t>
            </w:r>
            <w:r w:rsidR="00BA2990">
              <w:rPr>
                <w:rFonts w:ascii="Times New Roman" w:hAnsi="Times New Roman" w:cs="Times New Roman"/>
                <w:sz w:val="24"/>
                <w:szCs w:val="24"/>
              </w:rPr>
              <w:t>72</w:t>
            </w:r>
            <w:r w:rsidR="00EA46BA">
              <w:rPr>
                <w:rFonts w:ascii="Times New Roman" w:hAnsi="Times New Roman" w:cs="Times New Roman"/>
                <w:sz w:val="24"/>
                <w:szCs w:val="24"/>
              </w:rPr>
              <w:t>,</w:t>
            </w:r>
            <w:r w:rsidR="00BA2990">
              <w:rPr>
                <w:rFonts w:ascii="Times New Roman" w:hAnsi="Times New Roman" w:cs="Times New Roman"/>
                <w:sz w:val="24"/>
                <w:szCs w:val="24"/>
              </w:rPr>
              <w:t>7</w:t>
            </w:r>
            <w:r w:rsidR="00EA46BA">
              <w:rPr>
                <w:rFonts w:ascii="Times New Roman" w:hAnsi="Times New Roman" w:cs="Times New Roman"/>
                <w:sz w:val="24"/>
                <w:szCs w:val="24"/>
              </w:rPr>
              <w:t>80</w:t>
            </w:r>
          </w:p>
          <w:p w14:paraId="3B95AA81" w14:textId="2AD06331" w:rsidR="00584237" w:rsidRDefault="00584237" w:rsidP="00D570C5">
            <w:pPr>
              <w:pStyle w:val="BalloonText"/>
              <w:numPr>
                <w:ilvl w:val="12"/>
                <w:numId w:val="0"/>
              </w:numPr>
              <w:tabs>
                <w:tab w:val="left" w:pos="-720"/>
                <w:tab w:val="left" w:pos="4500"/>
              </w:tabs>
              <w:suppressAutoHyphens/>
              <w:ind w:left="525"/>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r w:rsidR="007016E2">
              <w:rPr>
                <w:i/>
                <w:iCs/>
                <w:szCs w:val="24"/>
              </w:rPr>
              <w:t>. For payment of second and subsequent tranches the Coordinating agency needs to demonstrate expenditure/commitment of at least 75% of the previous tranche and provision of any PBF reports due in the period elapsed.</w:t>
            </w:r>
          </w:p>
          <w:p w14:paraId="5E47BA9E" w14:textId="77777777" w:rsidR="007016E2" w:rsidRDefault="007016E2" w:rsidP="00D570C5">
            <w:pPr>
              <w:pStyle w:val="BalloonText"/>
              <w:numPr>
                <w:ilvl w:val="12"/>
                <w:numId w:val="0"/>
              </w:numPr>
              <w:tabs>
                <w:tab w:val="left" w:pos="-720"/>
                <w:tab w:val="left" w:pos="4500"/>
              </w:tabs>
              <w:suppressAutoHyphens/>
              <w:ind w:left="525"/>
              <w:rPr>
                <w:i/>
                <w:iCs/>
                <w:szCs w:val="24"/>
              </w:rPr>
            </w:pPr>
          </w:p>
          <w:p w14:paraId="02D147FD" w14:textId="77777777" w:rsidR="00584237" w:rsidRPr="00D649CA" w:rsidRDefault="00584237" w:rsidP="00D570C5">
            <w:pPr>
              <w:pStyle w:val="BalloonText"/>
              <w:numPr>
                <w:ilvl w:val="12"/>
                <w:numId w:val="0"/>
              </w:numPr>
              <w:tabs>
                <w:tab w:val="left" w:pos="-720"/>
                <w:tab w:val="left" w:pos="4500"/>
              </w:tabs>
              <w:suppressAutoHyphens/>
              <w:rPr>
                <w:rFonts w:ascii="Times New Roman" w:hAnsi="Times New Roman" w:cs="Times New Roman"/>
                <w:iCs/>
                <w:snapToGrid/>
                <w:sz w:val="24"/>
                <w:szCs w:val="24"/>
                <w:lang w:val="en-US"/>
              </w:rPr>
            </w:pPr>
            <w:r w:rsidRPr="00D649CA">
              <w:rPr>
                <w:rFonts w:ascii="Times New Roman" w:hAnsi="Times New Roman" w:cs="Times New Roman"/>
                <w:iCs/>
                <w:snapToGrid/>
                <w:sz w:val="24"/>
                <w:szCs w:val="24"/>
                <w:lang w:val="en-US"/>
              </w:rPr>
              <w:t xml:space="preserve">Any other </w:t>
            </w:r>
            <w:r w:rsidR="00DC26A6" w:rsidRPr="00D649CA">
              <w:rPr>
                <w:rFonts w:ascii="Times New Roman" w:hAnsi="Times New Roman" w:cs="Times New Roman"/>
                <w:iCs/>
                <w:snapToGrid/>
                <w:sz w:val="24"/>
                <w:szCs w:val="24"/>
                <w:lang w:val="en-US"/>
              </w:rPr>
              <w:t xml:space="preserve">existing </w:t>
            </w:r>
            <w:r w:rsidRPr="00D649CA">
              <w:rPr>
                <w:rFonts w:ascii="Times New Roman" w:hAnsi="Times New Roman" w:cs="Times New Roman"/>
                <w:iCs/>
                <w:snapToGrid/>
                <w:sz w:val="24"/>
                <w:szCs w:val="24"/>
                <w:lang w:val="en-US"/>
              </w:rPr>
              <w:t xml:space="preserve">funding for the project (amount and source): </w:t>
            </w:r>
          </w:p>
          <w:p w14:paraId="68F934D8" w14:textId="7217D4A8" w:rsidR="000B1D38" w:rsidRDefault="00AE3EFB" w:rsidP="00D570C5">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sz w:val="24"/>
                <w:szCs w:val="24"/>
              </w:rPr>
              <w:t xml:space="preserve">Project total budget: </w:t>
            </w:r>
            <w:r w:rsidR="00BA2990">
              <w:rPr>
                <w:rFonts w:ascii="Times New Roman" w:hAnsi="Times New Roman" w:cs="Times New Roman"/>
                <w:sz w:val="24"/>
                <w:szCs w:val="24"/>
              </w:rPr>
              <w:t xml:space="preserve">$ </w:t>
            </w:r>
            <w:r w:rsidR="00BA2990" w:rsidRPr="00EA46BA">
              <w:rPr>
                <w:rFonts w:ascii="Times New Roman" w:hAnsi="Times New Roman" w:cs="Times New Roman"/>
                <w:sz w:val="24"/>
                <w:szCs w:val="24"/>
              </w:rPr>
              <w:t>2</w:t>
            </w:r>
            <w:r w:rsidR="00BA2990">
              <w:rPr>
                <w:rFonts w:ascii="Times New Roman" w:hAnsi="Times New Roman" w:cs="Times New Roman"/>
                <w:sz w:val="24"/>
                <w:szCs w:val="24"/>
              </w:rPr>
              <w:t>,</w:t>
            </w:r>
            <w:r w:rsidR="00BA2990" w:rsidRPr="00EA46BA">
              <w:rPr>
                <w:rFonts w:ascii="Times New Roman" w:hAnsi="Times New Roman" w:cs="Times New Roman"/>
                <w:sz w:val="24"/>
                <w:szCs w:val="24"/>
              </w:rPr>
              <w:t>7</w:t>
            </w:r>
            <w:r w:rsidR="00BA2990">
              <w:rPr>
                <w:rFonts w:ascii="Times New Roman" w:hAnsi="Times New Roman" w:cs="Times New Roman"/>
                <w:sz w:val="24"/>
                <w:szCs w:val="24"/>
              </w:rPr>
              <w:t>72,780</w:t>
            </w:r>
          </w:p>
          <w:p w14:paraId="2E4AA401" w14:textId="433BD222" w:rsidR="000F510B" w:rsidRPr="00A96454" w:rsidRDefault="000F510B" w:rsidP="00D570C5">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584237" w:rsidRPr="00A96454" w14:paraId="7E927B5E" w14:textId="77777777" w:rsidTr="0015121C">
        <w:trPr>
          <w:trHeight w:val="2060"/>
        </w:trPr>
        <w:tc>
          <w:tcPr>
            <w:tcW w:w="2912" w:type="dxa"/>
          </w:tcPr>
          <w:p w14:paraId="2D2E988C" w14:textId="3275B1A7" w:rsidR="00584237" w:rsidRDefault="00584237" w:rsidP="00D570C5">
            <w:pPr>
              <w:rPr>
                <w:b/>
                <w:bCs/>
                <w:iCs/>
              </w:rPr>
            </w:pPr>
            <w:r>
              <w:rPr>
                <w:b/>
                <w:bCs/>
                <w:iCs/>
              </w:rPr>
              <w:lastRenderedPageBreak/>
              <w:t>PBF 1</w:t>
            </w:r>
            <w:r w:rsidRPr="001B373C">
              <w:rPr>
                <w:b/>
                <w:bCs/>
                <w:iCs/>
                <w:vertAlign w:val="superscript"/>
              </w:rPr>
              <w:t>st</w:t>
            </w:r>
            <w:r>
              <w:rPr>
                <w:b/>
                <w:bCs/>
                <w:iCs/>
              </w:rPr>
              <w:t xml:space="preserve"> tranche:</w:t>
            </w:r>
          </w:p>
          <w:p w14:paraId="3FDA38B0" w14:textId="17462506" w:rsidR="00584237" w:rsidRPr="001B373C" w:rsidRDefault="004F164B" w:rsidP="00D570C5">
            <w:pPr>
              <w:rPr>
                <w:iCs/>
              </w:rPr>
            </w:pPr>
            <w:r>
              <w:rPr>
                <w:iCs/>
              </w:rPr>
              <w:t>UNDP &amp; UNV</w:t>
            </w:r>
            <w:r w:rsidR="00584237" w:rsidRPr="001B373C">
              <w:rPr>
                <w:iCs/>
              </w:rPr>
              <w:t xml:space="preserve">: $ </w:t>
            </w:r>
            <w:r w:rsidR="00C153F9">
              <w:rPr>
                <w:iCs/>
              </w:rPr>
              <w:t>715,000</w:t>
            </w:r>
            <w:r w:rsidR="004B6360">
              <w:rPr>
                <w:iCs/>
              </w:rPr>
              <w:t>.00</w:t>
            </w:r>
          </w:p>
          <w:p w14:paraId="31BD9E37" w14:textId="6BE000DE" w:rsidR="00584237" w:rsidRDefault="004F164B" w:rsidP="00D570C5">
            <w:pPr>
              <w:rPr>
                <w:iCs/>
              </w:rPr>
            </w:pPr>
            <w:r>
              <w:rPr>
                <w:iCs/>
              </w:rPr>
              <w:t>UNICEF</w:t>
            </w:r>
            <w:r w:rsidR="00584237" w:rsidRPr="00A1035E">
              <w:rPr>
                <w:iCs/>
              </w:rPr>
              <w:t xml:space="preserve">: $ </w:t>
            </w:r>
            <w:r w:rsidR="00CA32D6" w:rsidRPr="00CA32D6">
              <w:rPr>
                <w:iCs/>
              </w:rPr>
              <w:t>437</w:t>
            </w:r>
            <w:r w:rsidR="00CA32D6">
              <w:rPr>
                <w:iCs/>
              </w:rPr>
              <w:t>,</w:t>
            </w:r>
            <w:r w:rsidR="00CA32D6" w:rsidRPr="00CA32D6">
              <w:rPr>
                <w:iCs/>
              </w:rPr>
              <w:t>902</w:t>
            </w:r>
            <w:r w:rsidR="00CA32D6">
              <w:rPr>
                <w:iCs/>
              </w:rPr>
              <w:t>.</w:t>
            </w:r>
            <w:r w:rsidR="00CA32D6" w:rsidRPr="00CA32D6">
              <w:rPr>
                <w:iCs/>
              </w:rPr>
              <w:t>40</w:t>
            </w:r>
          </w:p>
          <w:p w14:paraId="049D480F" w14:textId="0B8E4348" w:rsidR="00584237" w:rsidRPr="00394584" w:rsidRDefault="004F164B" w:rsidP="00D570C5">
            <w:pPr>
              <w:rPr>
                <w:iCs/>
              </w:rPr>
            </w:pPr>
            <w:r>
              <w:rPr>
                <w:iCs/>
              </w:rPr>
              <w:t>UN Women</w:t>
            </w:r>
            <w:r w:rsidR="00584237" w:rsidRPr="00A1035E">
              <w:rPr>
                <w:iCs/>
              </w:rPr>
              <w:t xml:space="preserve">: $ </w:t>
            </w:r>
            <w:r w:rsidR="00394584" w:rsidRPr="00851FBE">
              <w:rPr>
                <w:iCs/>
              </w:rPr>
              <w:t>274,990</w:t>
            </w:r>
            <w:r w:rsidR="00A90273" w:rsidRPr="00394584">
              <w:rPr>
                <w:iCs/>
              </w:rPr>
              <w:t>.00</w:t>
            </w:r>
          </w:p>
          <w:p w14:paraId="526B7B7F" w14:textId="06429E14" w:rsidR="000E7B43" w:rsidRDefault="000E7B43" w:rsidP="00D570C5">
            <w:pPr>
              <w:rPr>
                <w:iCs/>
              </w:rPr>
            </w:pPr>
            <w:r w:rsidRPr="00394584">
              <w:rPr>
                <w:iCs/>
              </w:rPr>
              <w:t xml:space="preserve">Total: </w:t>
            </w:r>
            <w:r w:rsidR="00EA46BA" w:rsidRPr="00394584">
              <w:rPr>
                <w:iCs/>
              </w:rPr>
              <w:t xml:space="preserve">$ </w:t>
            </w:r>
            <w:r w:rsidR="00394584" w:rsidRPr="00394584">
              <w:rPr>
                <w:iCs/>
              </w:rPr>
              <w:t>1,427,892.40</w:t>
            </w:r>
          </w:p>
        </w:tc>
        <w:tc>
          <w:tcPr>
            <w:tcW w:w="2848" w:type="dxa"/>
          </w:tcPr>
          <w:p w14:paraId="006D96F9" w14:textId="77E24988" w:rsidR="00584237" w:rsidRPr="001B373C" w:rsidRDefault="00584237" w:rsidP="00D570C5">
            <w:pPr>
              <w:rPr>
                <w:b/>
                <w:bCs/>
                <w:iCs/>
              </w:rPr>
            </w:pPr>
            <w:r>
              <w:rPr>
                <w:b/>
                <w:bCs/>
                <w:iCs/>
              </w:rPr>
              <w:t xml:space="preserve">PBF </w:t>
            </w:r>
            <w:r w:rsidRPr="001B373C">
              <w:rPr>
                <w:b/>
                <w:bCs/>
                <w:iCs/>
              </w:rPr>
              <w:t>2</w:t>
            </w:r>
            <w:r w:rsidRPr="001B373C">
              <w:rPr>
                <w:b/>
                <w:bCs/>
                <w:iCs/>
                <w:vertAlign w:val="superscript"/>
              </w:rPr>
              <w:t>nd</w:t>
            </w:r>
            <w:r>
              <w:rPr>
                <w:b/>
                <w:bCs/>
                <w:iCs/>
              </w:rPr>
              <w:t xml:space="preserve"> tranche</w:t>
            </w:r>
            <w:r w:rsidRPr="001B373C">
              <w:rPr>
                <w:b/>
                <w:bCs/>
                <w:iCs/>
              </w:rPr>
              <w:t>*:</w:t>
            </w:r>
          </w:p>
          <w:p w14:paraId="5D3C3965" w14:textId="44B72388" w:rsidR="004F164B" w:rsidRPr="001B373C" w:rsidRDefault="004F164B" w:rsidP="00D570C5">
            <w:pPr>
              <w:rPr>
                <w:iCs/>
              </w:rPr>
            </w:pPr>
            <w:r>
              <w:rPr>
                <w:iCs/>
              </w:rPr>
              <w:t>UNDP &amp; UNV</w:t>
            </w:r>
            <w:r w:rsidRPr="001B373C">
              <w:rPr>
                <w:iCs/>
              </w:rPr>
              <w:t xml:space="preserve">: $ </w:t>
            </w:r>
            <w:r w:rsidR="00C153F9">
              <w:rPr>
                <w:iCs/>
              </w:rPr>
              <w:t>715,000</w:t>
            </w:r>
            <w:r w:rsidR="004B6360">
              <w:rPr>
                <w:iCs/>
              </w:rPr>
              <w:t>.00</w:t>
            </w:r>
          </w:p>
          <w:p w14:paraId="6A72CA68" w14:textId="609C4482" w:rsidR="004F164B" w:rsidRDefault="004F164B" w:rsidP="00D570C5">
            <w:pPr>
              <w:rPr>
                <w:iCs/>
              </w:rPr>
            </w:pPr>
            <w:r>
              <w:rPr>
                <w:iCs/>
              </w:rPr>
              <w:t>UNICEF</w:t>
            </w:r>
            <w:r w:rsidRPr="00A1035E">
              <w:rPr>
                <w:iCs/>
              </w:rPr>
              <w:t xml:space="preserve">: $ </w:t>
            </w:r>
            <w:r w:rsidR="00CA32D6" w:rsidRPr="00CA32D6">
              <w:rPr>
                <w:iCs/>
              </w:rPr>
              <w:t>354</w:t>
            </w:r>
            <w:r w:rsidR="00CA32D6">
              <w:rPr>
                <w:iCs/>
              </w:rPr>
              <w:t>,</w:t>
            </w:r>
            <w:r w:rsidR="00CA32D6" w:rsidRPr="00CA32D6">
              <w:rPr>
                <w:iCs/>
              </w:rPr>
              <w:t>897</w:t>
            </w:r>
            <w:r w:rsidR="00CA32D6">
              <w:rPr>
                <w:iCs/>
              </w:rPr>
              <w:t>.</w:t>
            </w:r>
            <w:r w:rsidR="00CA32D6" w:rsidRPr="00CA32D6">
              <w:rPr>
                <w:iCs/>
              </w:rPr>
              <w:t>60</w:t>
            </w:r>
          </w:p>
          <w:p w14:paraId="50CBD524" w14:textId="65FD18F3" w:rsidR="004F164B" w:rsidRPr="00394584" w:rsidRDefault="004F164B" w:rsidP="00D570C5">
            <w:pPr>
              <w:rPr>
                <w:iCs/>
              </w:rPr>
            </w:pPr>
            <w:r>
              <w:rPr>
                <w:iCs/>
              </w:rPr>
              <w:t>UN Women</w:t>
            </w:r>
            <w:r w:rsidRPr="00A1035E">
              <w:rPr>
                <w:iCs/>
              </w:rPr>
              <w:t xml:space="preserve">: $ </w:t>
            </w:r>
            <w:r w:rsidR="00394584" w:rsidRPr="00851FBE">
              <w:rPr>
                <w:iCs/>
              </w:rPr>
              <w:t>274,990.00</w:t>
            </w:r>
          </w:p>
          <w:p w14:paraId="2F58CA78" w14:textId="39B3076E" w:rsidR="000E7B43" w:rsidRPr="001B373C" w:rsidRDefault="004F164B" w:rsidP="00D570C5">
            <w:pPr>
              <w:rPr>
                <w:b/>
                <w:bCs/>
                <w:iCs/>
              </w:rPr>
            </w:pPr>
            <w:r w:rsidRPr="00394584">
              <w:rPr>
                <w:iCs/>
              </w:rPr>
              <w:t>Total:</w:t>
            </w:r>
            <w:r w:rsidR="001B3EB0" w:rsidRPr="00394584">
              <w:rPr>
                <w:iCs/>
              </w:rPr>
              <w:t xml:space="preserve"> </w:t>
            </w:r>
            <w:r w:rsidR="0073057C" w:rsidRPr="00394584">
              <w:rPr>
                <w:iCs/>
              </w:rPr>
              <w:t xml:space="preserve">$ </w:t>
            </w:r>
            <w:r w:rsidR="00394584" w:rsidRPr="00394584">
              <w:rPr>
                <w:iCs/>
              </w:rPr>
              <w:t>1</w:t>
            </w:r>
            <w:r w:rsidR="00394584">
              <w:rPr>
                <w:iCs/>
              </w:rPr>
              <w:t>,</w:t>
            </w:r>
            <w:r w:rsidR="00394584" w:rsidRPr="00394584">
              <w:rPr>
                <w:iCs/>
              </w:rPr>
              <w:t>344</w:t>
            </w:r>
            <w:r w:rsidR="00394584">
              <w:rPr>
                <w:iCs/>
              </w:rPr>
              <w:t>,</w:t>
            </w:r>
            <w:r w:rsidR="00394584" w:rsidRPr="00394584">
              <w:rPr>
                <w:iCs/>
              </w:rPr>
              <w:t>887</w:t>
            </w:r>
            <w:r w:rsidR="00394584">
              <w:rPr>
                <w:iCs/>
              </w:rPr>
              <w:t>.</w:t>
            </w:r>
            <w:r w:rsidR="00394584" w:rsidRPr="00394584">
              <w:rPr>
                <w:iCs/>
              </w:rPr>
              <w:t>6</w:t>
            </w:r>
            <w:r w:rsidR="00394584">
              <w:rPr>
                <w:iCs/>
              </w:rPr>
              <w:t>0</w:t>
            </w:r>
          </w:p>
        </w:tc>
        <w:tc>
          <w:tcPr>
            <w:tcW w:w="2154" w:type="dxa"/>
          </w:tcPr>
          <w:p w14:paraId="7C5C2B2E" w14:textId="1A842196" w:rsidR="00584237" w:rsidRPr="001B373C" w:rsidRDefault="00584237" w:rsidP="00D570C5">
            <w:pPr>
              <w:rPr>
                <w:b/>
                <w:bCs/>
                <w:iCs/>
              </w:rPr>
            </w:pPr>
            <w:r>
              <w:rPr>
                <w:b/>
                <w:bCs/>
                <w:iCs/>
              </w:rPr>
              <w:t xml:space="preserve">PBF </w:t>
            </w:r>
            <w:r w:rsidRPr="001B373C">
              <w:rPr>
                <w:b/>
                <w:bCs/>
                <w:iCs/>
              </w:rPr>
              <w:t>3</w:t>
            </w:r>
            <w:r w:rsidRPr="001B373C">
              <w:rPr>
                <w:b/>
                <w:bCs/>
                <w:iCs/>
                <w:vertAlign w:val="superscript"/>
              </w:rPr>
              <w:t>rd</w:t>
            </w:r>
            <w:r w:rsidRPr="001B373C">
              <w:rPr>
                <w:b/>
                <w:bCs/>
                <w:iCs/>
              </w:rPr>
              <w:t xml:space="preserve"> </w:t>
            </w:r>
            <w:r>
              <w:rPr>
                <w:b/>
                <w:bCs/>
                <w:iCs/>
              </w:rPr>
              <w:t>tranche*:</w:t>
            </w:r>
          </w:p>
          <w:p w14:paraId="38FE2B32" w14:textId="13E8D865" w:rsidR="000E7B43" w:rsidRPr="001B373C" w:rsidRDefault="00281CB3" w:rsidP="00D570C5">
            <w:pPr>
              <w:rPr>
                <w:iCs/>
              </w:rPr>
            </w:pPr>
            <w:r>
              <w:rPr>
                <w:iCs/>
              </w:rPr>
              <w:t>n/a</w:t>
            </w:r>
          </w:p>
        </w:tc>
        <w:tc>
          <w:tcPr>
            <w:tcW w:w="2166" w:type="dxa"/>
          </w:tcPr>
          <w:p w14:paraId="09CBF1C3" w14:textId="4F30DD9D" w:rsidR="00584237" w:rsidRPr="00A96454" w:rsidRDefault="00584237" w:rsidP="00D570C5">
            <w:pPr>
              <w:rPr>
                <w:b/>
                <w:bCs/>
                <w:iCs/>
              </w:rPr>
            </w:pPr>
            <w:r w:rsidRPr="00A96454">
              <w:rPr>
                <w:b/>
                <w:bCs/>
                <w:iCs/>
              </w:rPr>
              <w:t>__</w:t>
            </w:r>
            <w:r>
              <w:rPr>
                <w:b/>
                <w:bCs/>
                <w:iCs/>
              </w:rPr>
              <w:t xml:space="preserve"> tranche</w:t>
            </w:r>
          </w:p>
          <w:p w14:paraId="58E2598E" w14:textId="5974F464" w:rsidR="000E7B43" w:rsidRPr="00A96454" w:rsidRDefault="00281CB3" w:rsidP="00D570C5">
            <w:pPr>
              <w:rPr>
                <w:b/>
                <w:bCs/>
                <w:iCs/>
              </w:rPr>
            </w:pPr>
            <w:r>
              <w:rPr>
                <w:iCs/>
              </w:rPr>
              <w:t>n/a</w:t>
            </w:r>
          </w:p>
        </w:tc>
      </w:tr>
      <w:tr w:rsidR="00584237" w:rsidRPr="00B41915" w14:paraId="42BC4E3D" w14:textId="77777777" w:rsidTr="1534F9D4">
        <w:trPr>
          <w:trHeight w:val="629"/>
        </w:trPr>
        <w:tc>
          <w:tcPr>
            <w:tcW w:w="10080" w:type="dxa"/>
            <w:gridSpan w:val="4"/>
          </w:tcPr>
          <w:p w14:paraId="15D6B8D5" w14:textId="46CC9521" w:rsidR="00584237" w:rsidRPr="00B41915" w:rsidRDefault="00D649CA" w:rsidP="00D570C5">
            <w:pPr>
              <w:rPr>
                <w:b/>
                <w:bCs/>
              </w:rPr>
            </w:pPr>
            <w:r w:rsidRPr="00B41915">
              <w:rPr>
                <w:b/>
                <w:bCs/>
              </w:rPr>
              <w:t>Two-three</w:t>
            </w:r>
            <w:r w:rsidR="00584237" w:rsidRPr="00B41915">
              <w:rPr>
                <w:b/>
                <w:bCs/>
              </w:rPr>
              <w:t xml:space="preserve"> sentence</w:t>
            </w:r>
            <w:r w:rsidRPr="00B41915">
              <w:rPr>
                <w:b/>
                <w:bCs/>
              </w:rPr>
              <w:t>s</w:t>
            </w:r>
            <w:r w:rsidR="00584237" w:rsidRPr="00B41915">
              <w:rPr>
                <w:b/>
                <w:bCs/>
              </w:rPr>
              <w:t xml:space="preserve"> </w:t>
            </w:r>
            <w:r w:rsidRPr="00B41915">
              <w:rPr>
                <w:b/>
                <w:bCs/>
              </w:rPr>
              <w:t>with</w:t>
            </w:r>
            <w:r w:rsidR="00584237" w:rsidRPr="00B41915">
              <w:rPr>
                <w:b/>
                <w:bCs/>
              </w:rPr>
              <w:t xml:space="preserve"> </w:t>
            </w:r>
            <w:r w:rsidRPr="00B41915">
              <w:rPr>
                <w:b/>
                <w:bCs/>
              </w:rPr>
              <w:t xml:space="preserve">a brief </w:t>
            </w:r>
            <w:r w:rsidR="00584237" w:rsidRPr="00B41915">
              <w:rPr>
                <w:b/>
                <w:bCs/>
              </w:rPr>
              <w:t>project description</w:t>
            </w:r>
            <w:r w:rsidRPr="00B41915">
              <w:rPr>
                <w:b/>
                <w:bCs/>
              </w:rPr>
              <w:t xml:space="preserve"> and </w:t>
            </w:r>
            <w:r w:rsidR="006379CF" w:rsidRPr="00B41915">
              <w:rPr>
                <w:b/>
                <w:bCs/>
              </w:rPr>
              <w:t xml:space="preserve">succinct </w:t>
            </w:r>
            <w:r w:rsidRPr="00B41915">
              <w:rPr>
                <w:b/>
                <w:bCs/>
              </w:rPr>
              <w:t>explanation of how the project is time sensitive, catalytic and risk-tolerant</w:t>
            </w:r>
            <w:r w:rsidR="006379CF" w:rsidRPr="00B41915">
              <w:rPr>
                <w:b/>
                <w:bCs/>
              </w:rPr>
              <w:t>/innovative</w:t>
            </w:r>
            <w:r w:rsidR="00584237" w:rsidRPr="00B41915">
              <w:rPr>
                <w:b/>
                <w:bCs/>
              </w:rPr>
              <w:t>:</w:t>
            </w:r>
          </w:p>
          <w:p w14:paraId="51937D18" w14:textId="0C931075" w:rsidR="004F164B" w:rsidRPr="00B41915" w:rsidRDefault="0085035D" w:rsidP="00CF1FA8">
            <w:pPr>
              <w:jc w:val="both"/>
              <w:rPr>
                <w:spacing w:val="-3"/>
              </w:rPr>
            </w:pPr>
            <w:r>
              <w:rPr>
                <w:bCs/>
                <w:szCs w:val="22"/>
              </w:rPr>
              <w:t>T</w:t>
            </w:r>
            <w:r w:rsidR="00EB2448" w:rsidRPr="00B41915">
              <w:rPr>
                <w:bCs/>
                <w:szCs w:val="22"/>
              </w:rPr>
              <w:t>he</w:t>
            </w:r>
            <w:r w:rsidR="00E05CFE" w:rsidRPr="00B41915">
              <w:rPr>
                <w:bCs/>
                <w:szCs w:val="22"/>
              </w:rPr>
              <w:t xml:space="preserve"> </w:t>
            </w:r>
            <w:r w:rsidR="000574AC" w:rsidRPr="00B41915">
              <w:rPr>
                <w:bCs/>
                <w:szCs w:val="22"/>
              </w:rPr>
              <w:t>“</w:t>
            </w:r>
            <w:r w:rsidR="000574AC" w:rsidRPr="00B41915">
              <w:t>Empowering Youth for a Peaceful, Prosperous, and Sustainable Future in Kosovo”</w:t>
            </w:r>
            <w:r w:rsidR="000574AC" w:rsidRPr="00B41915">
              <w:rPr>
                <w:bCs/>
                <w:szCs w:val="22"/>
              </w:rPr>
              <w:t xml:space="preserve"> </w:t>
            </w:r>
            <w:r w:rsidR="00EB2448" w:rsidRPr="00B41915">
              <w:rPr>
                <w:bCs/>
                <w:szCs w:val="22"/>
              </w:rPr>
              <w:t xml:space="preserve">project </w:t>
            </w:r>
            <w:r w:rsidR="00520473">
              <w:rPr>
                <w:bCs/>
                <w:szCs w:val="22"/>
              </w:rPr>
              <w:t xml:space="preserve">will </w:t>
            </w:r>
            <w:r w:rsidR="00EB2448" w:rsidRPr="00B41915">
              <w:rPr>
                <w:bCs/>
                <w:szCs w:val="22"/>
              </w:rPr>
              <w:t xml:space="preserve">directly engage </w:t>
            </w:r>
            <w:r w:rsidR="00AB616D" w:rsidRPr="00625168">
              <w:t xml:space="preserve">positive influencers of </w:t>
            </w:r>
            <w:r w:rsidR="002D316E">
              <w:t>a shared</w:t>
            </w:r>
            <w:r w:rsidR="00AB616D" w:rsidRPr="00625168">
              <w:t xml:space="preserve"> future</w:t>
            </w:r>
            <w:r w:rsidR="00AB616D">
              <w:t>, namely young women</w:t>
            </w:r>
            <w:r w:rsidR="00C90A7D">
              <w:t xml:space="preserve"> and men </w:t>
            </w:r>
            <w:r w:rsidR="005618A3">
              <w:t xml:space="preserve">from communities </w:t>
            </w:r>
            <w:r w:rsidR="002D316E">
              <w:t xml:space="preserve">divided by perpetuation of conflict dynamics, </w:t>
            </w:r>
            <w:r w:rsidR="005618A3">
              <w:t xml:space="preserve">who </w:t>
            </w:r>
            <w:r>
              <w:t>have been</w:t>
            </w:r>
            <w:r w:rsidR="005618A3">
              <w:t xml:space="preserve"> </w:t>
            </w:r>
            <w:r w:rsidR="00C90A7D" w:rsidRPr="00625168">
              <w:t>under</w:t>
            </w:r>
            <w:r w:rsidR="002D316E">
              <w:t>-</w:t>
            </w:r>
            <w:r w:rsidR="00C90A7D" w:rsidRPr="00625168">
              <w:t>represented in leadership</w:t>
            </w:r>
            <w:r w:rsidR="00AB616D" w:rsidRPr="00625168">
              <w:t xml:space="preserve"> </w:t>
            </w:r>
            <w:r w:rsidR="00EB2448" w:rsidRPr="00B41915">
              <w:rPr>
                <w:bCs/>
                <w:szCs w:val="22"/>
              </w:rPr>
              <w:t>to work together on issues of shared interest and concern</w:t>
            </w:r>
            <w:r>
              <w:rPr>
                <w:bCs/>
                <w:szCs w:val="22"/>
              </w:rPr>
              <w:t xml:space="preserve"> and become more active changemakers who will catalyze peace and trust-building efforts in Kosovo</w:t>
            </w:r>
            <w:r w:rsidR="00520473">
              <w:rPr>
                <w:bCs/>
                <w:szCs w:val="22"/>
              </w:rPr>
              <w:t>.</w:t>
            </w:r>
            <w:r w:rsidR="00EB2448" w:rsidRPr="00B41915">
              <w:rPr>
                <w:bCs/>
                <w:szCs w:val="22"/>
              </w:rPr>
              <w:t xml:space="preserve"> </w:t>
            </w:r>
            <w:r w:rsidR="00520473">
              <w:rPr>
                <w:bCs/>
                <w:szCs w:val="22"/>
              </w:rPr>
              <w:t>Building</w:t>
            </w:r>
            <w:r w:rsidR="00520473">
              <w:t xml:space="preserve"> upon the success of existing youth-led initiatives in Kosovo </w:t>
            </w:r>
            <w:r w:rsidR="002D316E">
              <w:t>supported by United Nations and its partners</w:t>
            </w:r>
            <w:r w:rsidR="00520473">
              <w:t xml:space="preserve">, this project </w:t>
            </w:r>
            <w:r>
              <w:t xml:space="preserve">is also an </w:t>
            </w:r>
            <w:r>
              <w:rPr>
                <w:bCs/>
                <w:szCs w:val="22"/>
              </w:rPr>
              <w:t xml:space="preserve">effort to catalyze the </w:t>
            </w:r>
            <w:r w:rsidRPr="00625168">
              <w:t>United Nations trus</w:t>
            </w:r>
            <w:r>
              <w:t xml:space="preserve">t-building framework for Kosovo. In doing so, the project </w:t>
            </w:r>
            <w:r w:rsidR="00520473">
              <w:t xml:space="preserve">will </w:t>
            </w:r>
            <w:r w:rsidR="00520473">
              <w:rPr>
                <w:bCs/>
                <w:szCs w:val="22"/>
              </w:rPr>
              <w:t xml:space="preserve">focus on establishing and consolidating a </w:t>
            </w:r>
            <w:r w:rsidR="00EB2448" w:rsidRPr="00B41915">
              <w:rPr>
                <w:bCs/>
                <w:szCs w:val="22"/>
              </w:rPr>
              <w:t xml:space="preserve">“habit” of cooperation, providing empirical challenge to divisive narratives. </w:t>
            </w:r>
            <w:r w:rsidR="00EB2448" w:rsidRPr="0020531F">
              <w:rPr>
                <w:bCs/>
                <w:szCs w:val="22"/>
                <w:highlight w:val="yellow"/>
              </w:rPr>
              <w:t xml:space="preserve">The </w:t>
            </w:r>
            <w:r w:rsidR="00E05CFE" w:rsidRPr="0020531F">
              <w:rPr>
                <w:bCs/>
                <w:szCs w:val="22"/>
                <w:highlight w:val="yellow"/>
              </w:rPr>
              <w:t>project</w:t>
            </w:r>
            <w:r w:rsidR="00EB2448" w:rsidRPr="0020531F">
              <w:rPr>
                <w:bCs/>
                <w:szCs w:val="22"/>
                <w:highlight w:val="yellow"/>
              </w:rPr>
              <w:t xml:space="preserve"> is time-sensitive, </w:t>
            </w:r>
            <w:r w:rsidR="00BB2348" w:rsidRPr="0020531F">
              <w:rPr>
                <w:highlight w:val="yellow"/>
              </w:rPr>
              <w:t xml:space="preserve">targeting the </w:t>
            </w:r>
            <w:r w:rsidR="00C90A7D" w:rsidRPr="0020531F">
              <w:rPr>
                <w:bCs/>
                <w:szCs w:val="22"/>
                <w:highlight w:val="yellow"/>
              </w:rPr>
              <w:t>ri</w:t>
            </w:r>
            <w:r w:rsidR="00EB2448" w:rsidRPr="0020531F">
              <w:rPr>
                <w:bCs/>
                <w:szCs w:val="22"/>
                <w:highlight w:val="yellow"/>
              </w:rPr>
              <w:t xml:space="preserve">sing dissatisfaction, frustration and anxiety that results from stalled political process and </w:t>
            </w:r>
            <w:r w:rsidR="00F51E93" w:rsidRPr="0020531F">
              <w:rPr>
                <w:bCs/>
                <w:szCs w:val="22"/>
                <w:highlight w:val="yellow"/>
              </w:rPr>
              <w:t xml:space="preserve">a </w:t>
            </w:r>
            <w:r w:rsidR="00EB2448" w:rsidRPr="0020531F">
              <w:rPr>
                <w:bCs/>
                <w:szCs w:val="22"/>
                <w:highlight w:val="yellow"/>
              </w:rPr>
              <w:t xml:space="preserve">noted </w:t>
            </w:r>
            <w:r w:rsidR="00EB2448" w:rsidRPr="00605224">
              <w:rPr>
                <w:bCs/>
                <w:szCs w:val="22"/>
                <w:highlight w:val="yellow"/>
              </w:rPr>
              <w:t xml:space="preserve">increase in community-level distrust </w:t>
            </w:r>
            <w:r w:rsidR="00BD46D4" w:rsidRPr="00605224">
              <w:rPr>
                <w:bCs/>
                <w:szCs w:val="22"/>
                <w:highlight w:val="yellow"/>
              </w:rPr>
              <w:t xml:space="preserve">in public institutions in both </w:t>
            </w:r>
            <w:r w:rsidR="00F51E93" w:rsidRPr="00605224">
              <w:rPr>
                <w:bCs/>
                <w:szCs w:val="22"/>
                <w:highlight w:val="yellow"/>
              </w:rPr>
              <w:t xml:space="preserve">majority and non-majority </w:t>
            </w:r>
            <w:r w:rsidR="00EB2448" w:rsidRPr="00605224">
              <w:rPr>
                <w:bCs/>
                <w:szCs w:val="22"/>
                <w:highlight w:val="yellow"/>
              </w:rPr>
              <w:t>communities.</w:t>
            </w:r>
            <w:r w:rsidR="00BB2348" w:rsidRPr="00605224">
              <w:rPr>
                <w:bCs/>
                <w:szCs w:val="22"/>
                <w:highlight w:val="yellow"/>
              </w:rPr>
              <w:t xml:space="preserve"> In addition, it </w:t>
            </w:r>
            <w:r w:rsidR="00BB2348" w:rsidRPr="00605224">
              <w:rPr>
                <w:highlight w:val="yellow"/>
              </w:rPr>
              <w:t xml:space="preserve">follows SRSG’s call to action encouraging all leaders and partners for peace in Kosovo to join the United Nations and other partners in taking forward trust-building concept, including the recommendations from the Trust-building Forum (TBF), as a framework for joint efforts toward lasting reconciliation and peace. </w:t>
            </w:r>
            <w:r w:rsidR="00E05CFE" w:rsidRPr="00605224">
              <w:rPr>
                <w:bCs/>
                <w:szCs w:val="22"/>
                <w:highlight w:val="yellow"/>
              </w:rPr>
              <w:t>Moreover, t</w:t>
            </w:r>
            <w:r w:rsidR="00EB2448" w:rsidRPr="00605224">
              <w:rPr>
                <w:bCs/>
                <w:szCs w:val="22"/>
                <w:highlight w:val="yellow"/>
              </w:rPr>
              <w:t xml:space="preserve">he </w:t>
            </w:r>
            <w:r w:rsidR="00BD46D4" w:rsidRPr="00605224">
              <w:rPr>
                <w:bCs/>
                <w:szCs w:val="22"/>
                <w:highlight w:val="yellow"/>
              </w:rPr>
              <w:t>project</w:t>
            </w:r>
            <w:r w:rsidR="00EB2448" w:rsidRPr="00605224">
              <w:rPr>
                <w:bCs/>
                <w:szCs w:val="22"/>
                <w:highlight w:val="yellow"/>
              </w:rPr>
              <w:t xml:space="preserve"> is innovative </w:t>
            </w:r>
            <w:r w:rsidR="002D316E" w:rsidRPr="00605224">
              <w:rPr>
                <w:bCs/>
                <w:szCs w:val="22"/>
                <w:highlight w:val="yellow"/>
              </w:rPr>
              <w:t xml:space="preserve">and human-centered </w:t>
            </w:r>
            <w:bookmarkStart w:id="1" w:name="_GoBack"/>
            <w:bookmarkEnd w:id="1"/>
            <w:r w:rsidR="00EB2448" w:rsidRPr="00605224">
              <w:rPr>
                <w:bCs/>
                <w:szCs w:val="22"/>
                <w:highlight w:val="yellow"/>
              </w:rPr>
              <w:t>because it focuses on direct community mobilization and facilitated cooperation between people and institutions</w:t>
            </w:r>
            <w:r w:rsidR="00CF2E2F" w:rsidRPr="00605224">
              <w:rPr>
                <w:highlight w:val="yellow"/>
              </w:rPr>
              <w:t xml:space="preserve">. </w:t>
            </w:r>
            <w:r w:rsidR="00CF2E2F" w:rsidRPr="00605224">
              <w:rPr>
                <w:bCs/>
                <w:szCs w:val="22"/>
                <w:highlight w:val="yellow"/>
              </w:rPr>
              <w:t xml:space="preserve">Its </w:t>
            </w:r>
            <w:r w:rsidR="00F86CC4" w:rsidRPr="00605224">
              <w:rPr>
                <w:bCs/>
                <w:szCs w:val="22"/>
                <w:highlight w:val="yellow"/>
              </w:rPr>
              <w:t xml:space="preserve">modular </w:t>
            </w:r>
            <w:r w:rsidR="00CF2E2F" w:rsidRPr="00605224">
              <w:rPr>
                <w:bCs/>
                <w:szCs w:val="22"/>
                <w:highlight w:val="yellow"/>
              </w:rPr>
              <w:t xml:space="preserve">design allows </w:t>
            </w:r>
            <w:r w:rsidR="00685F91" w:rsidRPr="00605224">
              <w:rPr>
                <w:bCs/>
                <w:szCs w:val="22"/>
                <w:highlight w:val="yellow"/>
              </w:rPr>
              <w:t xml:space="preserve">for </w:t>
            </w:r>
            <w:r w:rsidR="00DA0479" w:rsidRPr="00605224">
              <w:rPr>
                <w:bCs/>
                <w:szCs w:val="22"/>
                <w:highlight w:val="yellow"/>
              </w:rPr>
              <w:t xml:space="preserve">easy scale-up, and where appropriate replication across different geographical target areas. </w:t>
            </w:r>
            <w:r w:rsidR="00E05CFE" w:rsidRPr="00605224">
              <w:rPr>
                <w:bCs/>
                <w:szCs w:val="22"/>
                <w:highlight w:val="yellow"/>
              </w:rPr>
              <w:t>Finally</w:t>
            </w:r>
            <w:r w:rsidR="00BD46D4" w:rsidRPr="00605224">
              <w:rPr>
                <w:bCs/>
                <w:szCs w:val="22"/>
                <w:highlight w:val="yellow"/>
              </w:rPr>
              <w:t>, t</w:t>
            </w:r>
            <w:r w:rsidR="00EB2448" w:rsidRPr="00605224">
              <w:rPr>
                <w:bCs/>
                <w:szCs w:val="22"/>
                <w:highlight w:val="yellow"/>
              </w:rPr>
              <w:t xml:space="preserve">he </w:t>
            </w:r>
            <w:r w:rsidR="00E05CFE" w:rsidRPr="00605224">
              <w:rPr>
                <w:bCs/>
                <w:szCs w:val="22"/>
                <w:highlight w:val="yellow"/>
              </w:rPr>
              <w:t>project</w:t>
            </w:r>
            <w:r w:rsidR="00EB2448" w:rsidRPr="00605224">
              <w:rPr>
                <w:bCs/>
                <w:szCs w:val="22"/>
                <w:highlight w:val="yellow"/>
              </w:rPr>
              <w:t xml:space="preserve"> will be catalytic, because it results in the participants themselves being empowered as advocates for positive change, embedded at community level.</w:t>
            </w:r>
          </w:p>
          <w:p w14:paraId="5493BCBC" w14:textId="36D62D45" w:rsidR="00CF1FA8" w:rsidRPr="00B41915" w:rsidRDefault="00CF1FA8" w:rsidP="00D570C5">
            <w:pPr>
              <w:rPr>
                <w:spacing w:val="-3"/>
              </w:rPr>
            </w:pPr>
          </w:p>
        </w:tc>
      </w:tr>
      <w:tr w:rsidR="00584237" w:rsidRPr="00B41915" w14:paraId="492F2F92" w14:textId="77777777" w:rsidTr="1534F9D4">
        <w:trPr>
          <w:trHeight w:val="629"/>
        </w:trPr>
        <w:tc>
          <w:tcPr>
            <w:tcW w:w="10080" w:type="dxa"/>
            <w:gridSpan w:val="4"/>
          </w:tcPr>
          <w:p w14:paraId="4C93988B" w14:textId="7BD8F1C0" w:rsidR="00584237" w:rsidRPr="00B41915" w:rsidRDefault="00580CFE" w:rsidP="00D570C5">
            <w:pPr>
              <w:rPr>
                <w:b/>
                <w:bCs/>
                <w:szCs w:val="22"/>
              </w:rPr>
            </w:pPr>
            <w:r w:rsidRPr="00B41915">
              <w:rPr>
                <w:b/>
                <w:bCs/>
                <w:szCs w:val="22"/>
              </w:rPr>
              <w:t>Summarize the in-country project consultation and endorsement process prior to submission to PBSO, including through any PBF Steering Committee where it exists:</w:t>
            </w:r>
            <w:r w:rsidR="004F164B" w:rsidRPr="00B41915">
              <w:rPr>
                <w:b/>
                <w:bCs/>
                <w:szCs w:val="22"/>
              </w:rPr>
              <w:t xml:space="preserve"> </w:t>
            </w:r>
          </w:p>
          <w:p w14:paraId="4CBF41CB" w14:textId="63384ED6" w:rsidR="004F164B" w:rsidRPr="00B41915" w:rsidRDefault="00DC08ED" w:rsidP="00DC0B66">
            <w:pPr>
              <w:jc w:val="both"/>
              <w:rPr>
                <w:bCs/>
              </w:rPr>
            </w:pPr>
            <w:r w:rsidRPr="00B41915">
              <w:rPr>
                <w:bCs/>
              </w:rPr>
              <w:t xml:space="preserve">In preparation of this </w:t>
            </w:r>
            <w:r w:rsidR="003F3340" w:rsidRPr="00B41915">
              <w:rPr>
                <w:bCs/>
              </w:rPr>
              <w:t>project</w:t>
            </w:r>
            <w:r w:rsidRPr="00B41915">
              <w:rPr>
                <w:bCs/>
              </w:rPr>
              <w:t xml:space="preserve">, the UN Kosovo Team consulted with </w:t>
            </w:r>
            <w:r w:rsidR="00B915F7" w:rsidRPr="00B41915">
              <w:rPr>
                <w:bCs/>
              </w:rPr>
              <w:t>representatives of Kosovo institutions (Deputy Prime Minister</w:t>
            </w:r>
            <w:r w:rsidR="00DC0B66" w:rsidRPr="00B41915">
              <w:rPr>
                <w:bCs/>
              </w:rPr>
              <w:t>;</w:t>
            </w:r>
            <w:r w:rsidR="00B915F7" w:rsidRPr="00B41915">
              <w:rPr>
                <w:bCs/>
              </w:rPr>
              <w:t xml:space="preserve"> the Ministry of </w:t>
            </w:r>
            <w:r w:rsidR="00DC0B66" w:rsidRPr="00B41915">
              <w:rPr>
                <w:bCs/>
              </w:rPr>
              <w:t>Culture</w:t>
            </w:r>
            <w:r w:rsidR="009B0A27" w:rsidRPr="00B41915">
              <w:rPr>
                <w:bCs/>
              </w:rPr>
              <w:t>, Youth,</w:t>
            </w:r>
            <w:r w:rsidR="00DC0B66" w:rsidRPr="00B41915">
              <w:rPr>
                <w:bCs/>
              </w:rPr>
              <w:t xml:space="preserve"> and Sports;</w:t>
            </w:r>
            <w:r w:rsidR="000A66E5" w:rsidRPr="00B41915">
              <w:rPr>
                <w:bCs/>
              </w:rPr>
              <w:t xml:space="preserve"> the Ministry of Local Government Administration,</w:t>
            </w:r>
            <w:r w:rsidR="00B915F7" w:rsidRPr="00B41915">
              <w:rPr>
                <w:bCs/>
              </w:rPr>
              <w:t xml:space="preserve"> the </w:t>
            </w:r>
            <w:r w:rsidR="00DC0B66" w:rsidRPr="00B41915">
              <w:rPr>
                <w:bCs/>
              </w:rPr>
              <w:t>Employment Agency), civil society (</w:t>
            </w:r>
            <w:r w:rsidR="00DC0B66" w:rsidRPr="00B41915">
              <w:rPr>
                <w:bCs/>
                <w:iCs/>
              </w:rPr>
              <w:t>Association of Journalist</w:t>
            </w:r>
            <w:r w:rsidR="001B3A37" w:rsidRPr="00B41915">
              <w:rPr>
                <w:bCs/>
                <w:iCs/>
              </w:rPr>
              <w:t>s</w:t>
            </w:r>
            <w:r w:rsidR="00DC0B66" w:rsidRPr="00B41915">
              <w:rPr>
                <w:bCs/>
                <w:iCs/>
              </w:rPr>
              <w:t xml:space="preserve"> of Kosovo; Regional Women’s Lobby), academia (Faculty of Law at University of </w:t>
            </w:r>
            <w:proofErr w:type="spellStart"/>
            <w:r w:rsidR="00183E02" w:rsidRPr="00B41915">
              <w:rPr>
                <w:bCs/>
                <w:iCs/>
              </w:rPr>
              <w:t>Prishtinë</w:t>
            </w:r>
            <w:proofErr w:type="spellEnd"/>
            <w:r w:rsidR="00183E02" w:rsidRPr="00B41915">
              <w:rPr>
                <w:bCs/>
                <w:iCs/>
              </w:rPr>
              <w:t>/</w:t>
            </w:r>
            <w:proofErr w:type="spellStart"/>
            <w:r w:rsidR="00183E02" w:rsidRPr="00B41915">
              <w:rPr>
                <w:bCs/>
                <w:iCs/>
              </w:rPr>
              <w:t>Priština</w:t>
            </w:r>
            <w:proofErr w:type="spellEnd"/>
            <w:r w:rsidR="00DC0B66" w:rsidRPr="00B41915">
              <w:rPr>
                <w:bCs/>
                <w:iCs/>
              </w:rPr>
              <w:t>), UNMIK</w:t>
            </w:r>
            <w:r w:rsidR="003F7786">
              <w:rPr>
                <w:bCs/>
                <w:iCs/>
              </w:rPr>
              <w:t xml:space="preserve"> (</w:t>
            </w:r>
            <w:r w:rsidR="00DC0B66" w:rsidRPr="00B41915">
              <w:rPr>
                <w:bCs/>
                <w:iCs/>
              </w:rPr>
              <w:t>incl</w:t>
            </w:r>
            <w:r w:rsidR="003F7786">
              <w:rPr>
                <w:bCs/>
                <w:iCs/>
              </w:rPr>
              <w:t>uding</w:t>
            </w:r>
            <w:r w:rsidR="00DC0B66" w:rsidRPr="00B41915">
              <w:rPr>
                <w:bCs/>
                <w:iCs/>
              </w:rPr>
              <w:t xml:space="preserve"> the SRSG, </w:t>
            </w:r>
            <w:r w:rsidR="003F7786">
              <w:rPr>
                <w:bCs/>
                <w:iCs/>
              </w:rPr>
              <w:t xml:space="preserve">Office of Political Affairs, </w:t>
            </w:r>
            <w:proofErr w:type="spellStart"/>
            <w:r w:rsidR="003F7786">
              <w:rPr>
                <w:bCs/>
                <w:iCs/>
              </w:rPr>
              <w:t>Mitrovic</w:t>
            </w:r>
            <w:r w:rsidR="00102CE7">
              <w:rPr>
                <w:bCs/>
                <w:iCs/>
              </w:rPr>
              <w:t>ë</w:t>
            </w:r>
            <w:proofErr w:type="spellEnd"/>
            <w:r w:rsidR="00102CE7">
              <w:rPr>
                <w:bCs/>
                <w:iCs/>
              </w:rPr>
              <w:t>/a</w:t>
            </w:r>
            <w:r w:rsidR="003F7786">
              <w:rPr>
                <w:bCs/>
                <w:iCs/>
              </w:rPr>
              <w:t xml:space="preserve"> Regional Office, Gender Advisor and Youth Focal Point) </w:t>
            </w:r>
            <w:r w:rsidR="00DC0B66" w:rsidRPr="00B41915">
              <w:rPr>
                <w:bCs/>
                <w:iCs/>
              </w:rPr>
              <w:t xml:space="preserve">and other international actors in Kosovo. </w:t>
            </w:r>
          </w:p>
          <w:p w14:paraId="6F130EE4" w14:textId="3C16AA64" w:rsidR="00580CFE" w:rsidRPr="00B41915" w:rsidRDefault="00580CFE" w:rsidP="00D570C5">
            <w:pPr>
              <w:rPr>
                <w:b/>
                <w:bCs/>
              </w:rPr>
            </w:pPr>
          </w:p>
        </w:tc>
      </w:tr>
      <w:tr w:rsidR="00580CFE" w:rsidRPr="00B41915" w14:paraId="4393655F" w14:textId="77777777" w:rsidTr="1534F9D4">
        <w:trPr>
          <w:trHeight w:val="350"/>
        </w:trPr>
        <w:tc>
          <w:tcPr>
            <w:tcW w:w="10080" w:type="dxa"/>
            <w:gridSpan w:val="4"/>
          </w:tcPr>
          <w:p w14:paraId="1C534E05" w14:textId="3166EDC2" w:rsidR="00580CFE" w:rsidRPr="00B41915" w:rsidRDefault="00DC26A6" w:rsidP="00D570C5">
            <w:pPr>
              <w:pStyle w:val="Header"/>
              <w:tabs>
                <w:tab w:val="clear" w:pos="4320"/>
                <w:tab w:val="clear" w:pos="8640"/>
              </w:tabs>
              <w:rPr>
                <w:b/>
                <w:bCs/>
                <w:szCs w:val="22"/>
              </w:rPr>
            </w:pPr>
            <w:r w:rsidRPr="00B41915">
              <w:rPr>
                <w:b/>
                <w:bCs/>
                <w:szCs w:val="22"/>
              </w:rPr>
              <w:t xml:space="preserve">Project </w:t>
            </w:r>
            <w:r w:rsidR="006379CF" w:rsidRPr="00B41915">
              <w:rPr>
                <w:b/>
                <w:bCs/>
                <w:szCs w:val="22"/>
              </w:rPr>
              <w:t>Gender Marker s</w:t>
            </w:r>
            <w:r w:rsidR="00580CFE" w:rsidRPr="00B41915">
              <w:rPr>
                <w:b/>
                <w:bCs/>
                <w:szCs w:val="22"/>
              </w:rPr>
              <w:t xml:space="preserve">core: </w:t>
            </w:r>
            <w:r w:rsidR="00372A79" w:rsidRPr="00B41915">
              <w:rPr>
                <w:b/>
                <w:bCs/>
                <w:szCs w:val="22"/>
              </w:rPr>
              <w:t>2</w:t>
            </w:r>
            <w:r w:rsidR="00372A79" w:rsidRPr="00B41915">
              <w:rPr>
                <w:rStyle w:val="FootnoteReference"/>
                <w:b/>
                <w:bCs/>
                <w:szCs w:val="22"/>
              </w:rPr>
              <w:footnoteReference w:id="5"/>
            </w:r>
          </w:p>
          <w:p w14:paraId="5C765B24" w14:textId="77D57F70" w:rsidR="00580CFE" w:rsidRPr="00B41915" w:rsidRDefault="00580CFE" w:rsidP="00695D38">
            <w:pPr>
              <w:pStyle w:val="Header"/>
              <w:tabs>
                <w:tab w:val="clear" w:pos="4320"/>
                <w:tab w:val="clear" w:pos="8640"/>
              </w:tabs>
              <w:jc w:val="both"/>
              <w:rPr>
                <w:iCs/>
                <w:color w:val="000000"/>
                <w:sz w:val="22"/>
                <w:szCs w:val="22"/>
              </w:rPr>
            </w:pPr>
            <w:r w:rsidRPr="00B41915">
              <w:rPr>
                <w:iCs/>
                <w:color w:val="000000"/>
                <w:szCs w:val="22"/>
              </w:rPr>
              <w:t>Specify % and $ of total project budget allocated to activities in direct pursuit of gender equality and women’s empowerment:</w:t>
            </w:r>
            <w:r w:rsidR="00372A79" w:rsidRPr="00B41915">
              <w:rPr>
                <w:iCs/>
                <w:color w:val="000000"/>
                <w:szCs w:val="22"/>
              </w:rPr>
              <w:t xml:space="preserve"> </w:t>
            </w:r>
            <w:r w:rsidR="00B069E9" w:rsidRPr="00B41915">
              <w:rPr>
                <w:iCs/>
                <w:color w:val="000000"/>
                <w:szCs w:val="22"/>
              </w:rPr>
              <w:t>The project dedicates 70% of its budget to direct pursuit of women’s</w:t>
            </w:r>
            <w:r w:rsidR="00C26B89" w:rsidRPr="00B41915">
              <w:rPr>
                <w:iCs/>
                <w:color w:val="000000"/>
                <w:szCs w:val="22"/>
              </w:rPr>
              <w:t xml:space="preserve"> empowerment</w:t>
            </w:r>
            <w:r w:rsidR="009C0A4E" w:rsidRPr="00B41915">
              <w:rPr>
                <w:iCs/>
                <w:color w:val="000000"/>
                <w:szCs w:val="22"/>
              </w:rPr>
              <w:t>.</w:t>
            </w:r>
            <w:r w:rsidR="00C26B89" w:rsidRPr="00B41915">
              <w:rPr>
                <w:iCs/>
                <w:color w:val="000000"/>
                <w:szCs w:val="22"/>
              </w:rPr>
              <w:t xml:space="preserve"> </w:t>
            </w:r>
          </w:p>
        </w:tc>
      </w:tr>
      <w:tr w:rsidR="00580CFE" w:rsidRPr="00B41915" w14:paraId="45862BF7" w14:textId="77777777" w:rsidTr="1534F9D4">
        <w:trPr>
          <w:trHeight w:val="629"/>
        </w:trPr>
        <w:tc>
          <w:tcPr>
            <w:tcW w:w="10080" w:type="dxa"/>
            <w:gridSpan w:val="4"/>
          </w:tcPr>
          <w:p w14:paraId="12C05154" w14:textId="496485C8" w:rsidR="00580CFE" w:rsidRPr="00B41915" w:rsidRDefault="006379CF" w:rsidP="00D570C5">
            <w:pPr>
              <w:pStyle w:val="Header"/>
              <w:tabs>
                <w:tab w:val="clear" w:pos="4320"/>
                <w:tab w:val="clear" w:pos="8640"/>
              </w:tabs>
              <w:rPr>
                <w:b/>
                <w:bCs/>
                <w:szCs w:val="22"/>
              </w:rPr>
            </w:pPr>
            <w:r w:rsidRPr="00B41915">
              <w:rPr>
                <w:b/>
                <w:bCs/>
                <w:szCs w:val="22"/>
              </w:rPr>
              <w:lastRenderedPageBreak/>
              <w:t>Project Risk M</w:t>
            </w:r>
            <w:r w:rsidR="00580CFE" w:rsidRPr="00B41915">
              <w:rPr>
                <w:b/>
                <w:bCs/>
                <w:szCs w:val="22"/>
              </w:rPr>
              <w:t>arker</w:t>
            </w:r>
            <w:r w:rsidR="00DC26A6" w:rsidRPr="00B41915">
              <w:rPr>
                <w:b/>
                <w:bCs/>
                <w:szCs w:val="22"/>
              </w:rPr>
              <w:t xml:space="preserve"> score</w:t>
            </w:r>
            <w:r w:rsidR="00580CFE" w:rsidRPr="00B41915">
              <w:rPr>
                <w:b/>
                <w:bCs/>
                <w:szCs w:val="22"/>
              </w:rPr>
              <w:t xml:space="preserve">: </w:t>
            </w:r>
            <w:r w:rsidR="00372A79" w:rsidRPr="00B41915">
              <w:rPr>
                <w:b/>
                <w:bCs/>
                <w:szCs w:val="22"/>
              </w:rPr>
              <w:t>1</w:t>
            </w:r>
            <w:r w:rsidRPr="00B41915">
              <w:rPr>
                <w:rStyle w:val="FootnoteReference"/>
                <w:b/>
                <w:bCs/>
                <w:szCs w:val="22"/>
              </w:rPr>
              <w:footnoteReference w:id="6"/>
            </w:r>
          </w:p>
          <w:p w14:paraId="5136FC9E" w14:textId="0A15B540" w:rsidR="000F510B" w:rsidRPr="00B41915" w:rsidRDefault="000F510B" w:rsidP="00D570C5">
            <w:pPr>
              <w:pStyle w:val="Header"/>
              <w:tabs>
                <w:tab w:val="clear" w:pos="4320"/>
                <w:tab w:val="clear" w:pos="8640"/>
              </w:tabs>
              <w:rPr>
                <w:szCs w:val="22"/>
              </w:rPr>
            </w:pPr>
          </w:p>
        </w:tc>
      </w:tr>
      <w:tr w:rsidR="00580CFE" w:rsidRPr="00B41915" w14:paraId="69E14EB0" w14:textId="77777777" w:rsidTr="1534F9D4">
        <w:trPr>
          <w:trHeight w:val="629"/>
        </w:trPr>
        <w:tc>
          <w:tcPr>
            <w:tcW w:w="10080" w:type="dxa"/>
            <w:gridSpan w:val="4"/>
          </w:tcPr>
          <w:p w14:paraId="0EAADAE3" w14:textId="5CF3244C" w:rsidR="00580CFE" w:rsidRPr="00B41915" w:rsidRDefault="00580CFE" w:rsidP="00D570C5">
            <w:pPr>
              <w:pStyle w:val="Header"/>
              <w:tabs>
                <w:tab w:val="clear" w:pos="4320"/>
                <w:tab w:val="clear" w:pos="8640"/>
              </w:tabs>
              <w:rPr>
                <w:bCs/>
                <w:szCs w:val="22"/>
              </w:rPr>
            </w:pPr>
            <w:r w:rsidRPr="00B41915">
              <w:rPr>
                <w:b/>
                <w:bCs/>
                <w:szCs w:val="22"/>
              </w:rPr>
              <w:t xml:space="preserve">Select PBF Focus Areas </w:t>
            </w:r>
            <w:r w:rsidRPr="00B41915">
              <w:rPr>
                <w:bCs/>
                <w:szCs w:val="22"/>
              </w:rPr>
              <w:t xml:space="preserve">which best summarizes the focus of the project </w:t>
            </w:r>
            <w:r w:rsidRPr="00B41915">
              <w:rPr>
                <w:bCs/>
                <w:i/>
                <w:sz w:val="20"/>
              </w:rPr>
              <w:t>(select ONLY one)</w:t>
            </w:r>
            <w:r w:rsidRPr="00B41915">
              <w:rPr>
                <w:bCs/>
                <w:szCs w:val="22"/>
              </w:rPr>
              <w:t>:</w:t>
            </w:r>
            <w:r w:rsidR="00DC26A6" w:rsidRPr="00B41915">
              <w:rPr>
                <w:bCs/>
                <w:szCs w:val="22"/>
              </w:rPr>
              <w:t xml:space="preserve"> </w:t>
            </w:r>
            <w:r w:rsidR="000620B0" w:rsidRPr="00B41915">
              <w:rPr>
                <w:bCs/>
                <w:szCs w:val="22"/>
              </w:rPr>
              <w:t>3.2.</w:t>
            </w:r>
            <w:r w:rsidR="006379CF" w:rsidRPr="00B41915">
              <w:rPr>
                <w:bCs/>
                <w:szCs w:val="22"/>
              </w:rPr>
              <w:t xml:space="preserve"> </w:t>
            </w:r>
            <w:r w:rsidR="006379CF" w:rsidRPr="00B41915">
              <w:rPr>
                <w:rStyle w:val="FootnoteReference"/>
                <w:bCs/>
                <w:szCs w:val="22"/>
              </w:rPr>
              <w:footnoteReference w:id="7"/>
            </w:r>
          </w:p>
          <w:p w14:paraId="1DBE5665" w14:textId="77777777" w:rsidR="000F510B" w:rsidRPr="00B41915" w:rsidRDefault="000F510B" w:rsidP="00D570C5">
            <w:pPr>
              <w:pStyle w:val="Header"/>
              <w:tabs>
                <w:tab w:val="clear" w:pos="4320"/>
                <w:tab w:val="clear" w:pos="8640"/>
              </w:tabs>
              <w:rPr>
                <w:bCs/>
                <w:sz w:val="18"/>
                <w:szCs w:val="18"/>
              </w:rPr>
            </w:pPr>
          </w:p>
          <w:p w14:paraId="1E5C61AF" w14:textId="010ED714" w:rsidR="000F510B" w:rsidRPr="00B41915" w:rsidRDefault="000F510B" w:rsidP="00D570C5">
            <w:pPr>
              <w:pStyle w:val="Header"/>
              <w:tabs>
                <w:tab w:val="clear" w:pos="4320"/>
                <w:tab w:val="clear" w:pos="8640"/>
              </w:tabs>
              <w:rPr>
                <w:bCs/>
                <w:szCs w:val="22"/>
              </w:rPr>
            </w:pPr>
            <w:r w:rsidRPr="00B41915">
              <w:rPr>
                <w:bCs/>
                <w:szCs w:val="22"/>
              </w:rPr>
              <w:t xml:space="preserve">If applicable, </w:t>
            </w:r>
            <w:r w:rsidRPr="00B41915">
              <w:rPr>
                <w:b/>
                <w:szCs w:val="22"/>
              </w:rPr>
              <w:t>UNDAF outcome(s)</w:t>
            </w:r>
            <w:r w:rsidRPr="00B41915">
              <w:rPr>
                <w:bCs/>
                <w:szCs w:val="22"/>
              </w:rPr>
              <w:t xml:space="preserve"> to which the project contributes:</w:t>
            </w:r>
            <w:r w:rsidR="000620B0" w:rsidRPr="00B41915">
              <w:rPr>
                <w:bCs/>
                <w:szCs w:val="22"/>
              </w:rPr>
              <w:t xml:space="preserve"> The UN CDP, Priority Area 2: Social Inclusion</w:t>
            </w:r>
          </w:p>
          <w:p w14:paraId="155DC690" w14:textId="77777777" w:rsidR="000F510B" w:rsidRPr="00B41915" w:rsidRDefault="000F510B" w:rsidP="00D570C5">
            <w:pPr>
              <w:pStyle w:val="Header"/>
              <w:tabs>
                <w:tab w:val="clear" w:pos="4320"/>
                <w:tab w:val="clear" w:pos="8640"/>
              </w:tabs>
              <w:rPr>
                <w:bCs/>
                <w:szCs w:val="22"/>
              </w:rPr>
            </w:pPr>
          </w:p>
          <w:p w14:paraId="06712090" w14:textId="7529C456" w:rsidR="000F510B" w:rsidRPr="00B41915" w:rsidRDefault="000F510B" w:rsidP="00D570C5">
            <w:pPr>
              <w:pStyle w:val="Header"/>
              <w:tabs>
                <w:tab w:val="clear" w:pos="4320"/>
                <w:tab w:val="clear" w:pos="8640"/>
              </w:tabs>
              <w:rPr>
                <w:bCs/>
                <w:szCs w:val="22"/>
              </w:rPr>
            </w:pPr>
            <w:r w:rsidRPr="00B41915">
              <w:rPr>
                <w:bCs/>
                <w:szCs w:val="22"/>
              </w:rPr>
              <w:t xml:space="preserve">If applicable, </w:t>
            </w:r>
            <w:r w:rsidRPr="00B41915">
              <w:rPr>
                <w:b/>
                <w:szCs w:val="22"/>
              </w:rPr>
              <w:t>Sustainable Development Goal</w:t>
            </w:r>
            <w:r w:rsidRPr="00B41915">
              <w:rPr>
                <w:bCs/>
                <w:szCs w:val="22"/>
              </w:rPr>
              <w:t xml:space="preserve"> to which the project contributes:</w:t>
            </w:r>
            <w:r w:rsidR="000620B0" w:rsidRPr="00B41915">
              <w:rPr>
                <w:bCs/>
                <w:szCs w:val="22"/>
              </w:rPr>
              <w:t xml:space="preserve"> 5, 8, 16</w:t>
            </w:r>
          </w:p>
          <w:p w14:paraId="58485492" w14:textId="76611BB7" w:rsidR="000F510B" w:rsidRPr="00B41915" w:rsidRDefault="000F510B" w:rsidP="00D570C5">
            <w:pPr>
              <w:pStyle w:val="Header"/>
              <w:tabs>
                <w:tab w:val="clear" w:pos="4320"/>
                <w:tab w:val="clear" w:pos="8640"/>
              </w:tabs>
              <w:rPr>
                <w:b/>
                <w:bCs/>
                <w:szCs w:val="22"/>
              </w:rPr>
            </w:pPr>
          </w:p>
        </w:tc>
      </w:tr>
      <w:tr w:rsidR="0005448E" w:rsidRPr="00B41915" w14:paraId="63C852CF" w14:textId="77777777" w:rsidTr="00851FBE">
        <w:trPr>
          <w:trHeight w:val="629"/>
        </w:trPr>
        <w:tc>
          <w:tcPr>
            <w:tcW w:w="2912" w:type="dxa"/>
          </w:tcPr>
          <w:p w14:paraId="70D5421E" w14:textId="481D0529" w:rsidR="0005448E" w:rsidRPr="00B41915" w:rsidRDefault="0005448E" w:rsidP="00D570C5">
            <w:pPr>
              <w:pStyle w:val="Header"/>
              <w:tabs>
                <w:tab w:val="clear" w:pos="4320"/>
                <w:tab w:val="clear" w:pos="8640"/>
              </w:tabs>
              <w:rPr>
                <w:b/>
                <w:bCs/>
                <w:sz w:val="22"/>
                <w:szCs w:val="22"/>
              </w:rPr>
            </w:pPr>
            <w:r w:rsidRPr="00B41915">
              <w:rPr>
                <w:b/>
                <w:bCs/>
                <w:sz w:val="22"/>
                <w:szCs w:val="22"/>
              </w:rPr>
              <w:t>Type of submission:</w:t>
            </w:r>
          </w:p>
          <w:p w14:paraId="1C5BC3BF" w14:textId="77777777" w:rsidR="0005448E" w:rsidRPr="00B41915" w:rsidRDefault="0005448E" w:rsidP="00D570C5">
            <w:pPr>
              <w:pStyle w:val="Header"/>
              <w:tabs>
                <w:tab w:val="clear" w:pos="4320"/>
                <w:tab w:val="clear" w:pos="8640"/>
              </w:tabs>
              <w:rPr>
                <w:b/>
                <w:bCs/>
                <w:sz w:val="22"/>
                <w:szCs w:val="22"/>
              </w:rPr>
            </w:pPr>
          </w:p>
          <w:p w14:paraId="179F3273" w14:textId="3265A39C" w:rsidR="0005448E" w:rsidRPr="00B41915" w:rsidRDefault="000620B0" w:rsidP="00D570C5">
            <w:pPr>
              <w:pStyle w:val="Header"/>
              <w:tabs>
                <w:tab w:val="clear" w:pos="4320"/>
                <w:tab w:val="clear" w:pos="8640"/>
                <w:tab w:val="left" w:pos="1845"/>
              </w:tabs>
              <w:rPr>
                <w:b/>
                <w:bCs/>
                <w:sz w:val="22"/>
                <w:szCs w:val="22"/>
              </w:rPr>
            </w:pPr>
            <w:r w:rsidRPr="00B41915">
              <w:rPr>
                <w:b/>
                <w:bCs/>
                <w:sz w:val="22"/>
                <w:szCs w:val="22"/>
                <w:lang w:val="en-US"/>
              </w:rPr>
              <w:fldChar w:fldCharType="begin">
                <w:ffData>
                  <w:name w:val=""/>
                  <w:enabled/>
                  <w:calcOnExit w:val="0"/>
                  <w:checkBox>
                    <w:sizeAuto/>
                    <w:default w:val="1"/>
                  </w:checkBox>
                </w:ffData>
              </w:fldChar>
            </w:r>
            <w:r w:rsidRPr="00B41915">
              <w:rPr>
                <w:b/>
                <w:bCs/>
                <w:sz w:val="22"/>
                <w:szCs w:val="22"/>
                <w:lang w:val="en-US"/>
              </w:rPr>
              <w:instrText xml:space="preserve"> FORMCHECKBOX </w:instrText>
            </w:r>
            <w:r w:rsidR="00BA7646">
              <w:rPr>
                <w:b/>
                <w:bCs/>
                <w:sz w:val="22"/>
                <w:szCs w:val="22"/>
                <w:lang w:val="en-US"/>
              </w:rPr>
            </w:r>
            <w:r w:rsidR="00BA7646">
              <w:rPr>
                <w:b/>
                <w:bCs/>
                <w:sz w:val="22"/>
                <w:szCs w:val="22"/>
                <w:lang w:val="en-US"/>
              </w:rPr>
              <w:fldChar w:fldCharType="separate"/>
            </w:r>
            <w:r w:rsidRPr="00B41915">
              <w:rPr>
                <w:b/>
                <w:bCs/>
                <w:sz w:val="22"/>
                <w:szCs w:val="22"/>
                <w:lang w:val="en-US"/>
              </w:rPr>
              <w:fldChar w:fldCharType="end"/>
            </w:r>
            <w:r w:rsidR="006379CF" w:rsidRPr="00B41915">
              <w:rPr>
                <w:b/>
                <w:bCs/>
                <w:sz w:val="22"/>
                <w:szCs w:val="22"/>
              </w:rPr>
              <w:t xml:space="preserve"> </w:t>
            </w:r>
            <w:r w:rsidR="0005448E" w:rsidRPr="00B41915">
              <w:rPr>
                <w:b/>
                <w:bCs/>
                <w:sz w:val="22"/>
                <w:szCs w:val="22"/>
              </w:rPr>
              <w:t xml:space="preserve">New project     </w:t>
            </w:r>
          </w:p>
          <w:p w14:paraId="3605C34C" w14:textId="3A9A1CB8" w:rsidR="0005448E" w:rsidRPr="00B41915" w:rsidRDefault="003D234B" w:rsidP="00D570C5">
            <w:pPr>
              <w:pStyle w:val="Header"/>
              <w:tabs>
                <w:tab w:val="clear" w:pos="4320"/>
                <w:tab w:val="clear" w:pos="8640"/>
              </w:tabs>
              <w:rPr>
                <w:sz w:val="22"/>
                <w:szCs w:val="22"/>
              </w:rPr>
            </w:pPr>
            <w:r w:rsidRPr="00B41915">
              <w:rPr>
                <w:sz w:val="22"/>
                <w:szCs w:val="22"/>
              </w:rPr>
              <w:fldChar w:fldCharType="begin">
                <w:ffData>
                  <w:name w:val=""/>
                  <w:enabled/>
                  <w:calcOnExit w:val="0"/>
                  <w:checkBox>
                    <w:sizeAuto/>
                    <w:default w:val="0"/>
                  </w:checkBox>
                </w:ffData>
              </w:fldChar>
            </w:r>
            <w:r w:rsidRPr="00B41915">
              <w:rPr>
                <w:sz w:val="22"/>
                <w:szCs w:val="22"/>
              </w:rPr>
              <w:instrText xml:space="preserve"> FORMCHECKBOX </w:instrText>
            </w:r>
            <w:r w:rsidR="00BA7646">
              <w:rPr>
                <w:sz w:val="22"/>
                <w:szCs w:val="22"/>
              </w:rPr>
            </w:r>
            <w:r w:rsidR="00BA7646">
              <w:rPr>
                <w:sz w:val="22"/>
                <w:szCs w:val="22"/>
              </w:rPr>
              <w:fldChar w:fldCharType="separate"/>
            </w:r>
            <w:r w:rsidRPr="00B41915">
              <w:rPr>
                <w:sz w:val="22"/>
                <w:szCs w:val="22"/>
              </w:rPr>
              <w:fldChar w:fldCharType="end"/>
            </w:r>
            <w:r w:rsidRPr="00B41915">
              <w:rPr>
                <w:sz w:val="22"/>
                <w:szCs w:val="22"/>
              </w:rPr>
              <w:t xml:space="preserve"> </w:t>
            </w:r>
            <w:r w:rsidR="0005448E" w:rsidRPr="00B41915">
              <w:rPr>
                <w:b/>
                <w:bCs/>
                <w:sz w:val="22"/>
                <w:szCs w:val="22"/>
              </w:rPr>
              <w:t xml:space="preserve">Project amendment  </w:t>
            </w:r>
          </w:p>
          <w:p w14:paraId="6AACA8D0" w14:textId="6CE205CF" w:rsidR="0005448E" w:rsidRPr="00B41915" w:rsidRDefault="0005448E" w:rsidP="00D570C5">
            <w:pPr>
              <w:pStyle w:val="Header"/>
              <w:tabs>
                <w:tab w:val="clear" w:pos="4320"/>
                <w:tab w:val="clear" w:pos="8640"/>
              </w:tabs>
              <w:rPr>
                <w:b/>
                <w:bCs/>
                <w:szCs w:val="22"/>
              </w:rPr>
            </w:pPr>
          </w:p>
        </w:tc>
        <w:tc>
          <w:tcPr>
            <w:tcW w:w="7168" w:type="dxa"/>
            <w:gridSpan w:val="3"/>
          </w:tcPr>
          <w:p w14:paraId="6AFD53D3" w14:textId="16AEE306" w:rsidR="0005448E" w:rsidRPr="00B41915" w:rsidRDefault="0005448E" w:rsidP="00D570C5">
            <w:pPr>
              <w:pStyle w:val="Header"/>
              <w:tabs>
                <w:tab w:val="clear" w:pos="4320"/>
                <w:tab w:val="clear" w:pos="8640"/>
              </w:tabs>
              <w:rPr>
                <w:b/>
                <w:bCs/>
                <w:szCs w:val="22"/>
              </w:rPr>
            </w:pPr>
            <w:r w:rsidRPr="00B41915">
              <w:rPr>
                <w:b/>
                <w:bCs/>
                <w:szCs w:val="22"/>
              </w:rPr>
              <w:t>If it is a project amendment, select all changes that apply and provide a brief justification:</w:t>
            </w:r>
          </w:p>
          <w:p w14:paraId="5F661D00" w14:textId="0468DB1F" w:rsidR="0005448E" w:rsidRPr="00B41915" w:rsidRDefault="0005448E" w:rsidP="00D570C5">
            <w:pPr>
              <w:pStyle w:val="Header"/>
              <w:tabs>
                <w:tab w:val="clear" w:pos="4320"/>
                <w:tab w:val="clear" w:pos="8640"/>
              </w:tabs>
              <w:rPr>
                <w:b/>
                <w:bCs/>
                <w:szCs w:val="22"/>
              </w:rPr>
            </w:pPr>
          </w:p>
          <w:p w14:paraId="45AAE112" w14:textId="7A74493D" w:rsidR="0005448E" w:rsidRPr="00B41915" w:rsidRDefault="0005448E" w:rsidP="00D570C5">
            <w:pPr>
              <w:pStyle w:val="Header"/>
              <w:tabs>
                <w:tab w:val="clear" w:pos="4320"/>
                <w:tab w:val="clear" w:pos="8640"/>
              </w:tabs>
              <w:rPr>
                <w:b/>
                <w:bCs/>
                <w:szCs w:val="22"/>
              </w:rPr>
            </w:pPr>
            <w:r w:rsidRPr="00B41915">
              <w:rPr>
                <w:b/>
                <w:bCs/>
                <w:szCs w:val="22"/>
              </w:rPr>
              <w:t xml:space="preserve">Extension of duration: </w:t>
            </w:r>
            <w:r w:rsidRPr="00B41915">
              <w:fldChar w:fldCharType="begin">
                <w:ffData>
                  <w:name w:val=""/>
                  <w:enabled/>
                  <w:calcOnExit w:val="0"/>
                  <w:checkBox>
                    <w:sizeAuto/>
                    <w:default w:val="0"/>
                  </w:checkBox>
                </w:ffData>
              </w:fldChar>
            </w:r>
            <w:r w:rsidRPr="00B41915">
              <w:instrText xml:space="preserve"> FORMCHECKBOX </w:instrText>
            </w:r>
            <w:r w:rsidR="00BA7646">
              <w:fldChar w:fldCharType="separate"/>
            </w:r>
            <w:r w:rsidRPr="00B41915">
              <w:fldChar w:fldCharType="end"/>
            </w:r>
            <w:r w:rsidR="003D234B" w:rsidRPr="00B41915">
              <w:t xml:space="preserve">   </w:t>
            </w:r>
            <w:r w:rsidR="000F510B" w:rsidRPr="00B41915">
              <w:t xml:space="preserve">Additional duration in months: </w:t>
            </w:r>
            <w:r w:rsidR="003D234B" w:rsidRPr="00B41915">
              <w:t xml:space="preserve"> </w:t>
            </w:r>
          </w:p>
          <w:p w14:paraId="715CB66B" w14:textId="0677F5E8" w:rsidR="0005448E" w:rsidRPr="00B41915" w:rsidRDefault="0005448E" w:rsidP="00D570C5">
            <w:pPr>
              <w:pStyle w:val="Header"/>
              <w:tabs>
                <w:tab w:val="clear" w:pos="4320"/>
                <w:tab w:val="clear" w:pos="8640"/>
              </w:tabs>
              <w:rPr>
                <w:b/>
                <w:bCs/>
                <w:szCs w:val="22"/>
              </w:rPr>
            </w:pPr>
            <w:r w:rsidRPr="00B41915">
              <w:rPr>
                <w:b/>
                <w:bCs/>
                <w:szCs w:val="22"/>
              </w:rPr>
              <w:t xml:space="preserve">Change of project outcome/ scope: </w:t>
            </w:r>
            <w:r w:rsidRPr="00B41915">
              <w:fldChar w:fldCharType="begin">
                <w:ffData>
                  <w:name w:val=""/>
                  <w:enabled/>
                  <w:calcOnExit w:val="0"/>
                  <w:checkBox>
                    <w:sizeAuto/>
                    <w:default w:val="0"/>
                  </w:checkBox>
                </w:ffData>
              </w:fldChar>
            </w:r>
            <w:r w:rsidRPr="00B41915">
              <w:instrText xml:space="preserve"> FORMCHECKBOX </w:instrText>
            </w:r>
            <w:r w:rsidR="00BA7646">
              <w:fldChar w:fldCharType="separate"/>
            </w:r>
            <w:r w:rsidRPr="00B41915">
              <w:fldChar w:fldCharType="end"/>
            </w:r>
          </w:p>
          <w:p w14:paraId="018422C4" w14:textId="7C24C410" w:rsidR="0005448E" w:rsidRPr="00B41915" w:rsidRDefault="0005448E" w:rsidP="00D570C5">
            <w:pPr>
              <w:pStyle w:val="Header"/>
              <w:tabs>
                <w:tab w:val="clear" w:pos="4320"/>
                <w:tab w:val="clear" w:pos="8640"/>
              </w:tabs>
              <w:rPr>
                <w:b/>
                <w:bCs/>
                <w:szCs w:val="22"/>
              </w:rPr>
            </w:pPr>
            <w:r w:rsidRPr="00B41915">
              <w:rPr>
                <w:b/>
                <w:bCs/>
                <w:szCs w:val="22"/>
              </w:rPr>
              <w:t xml:space="preserve">Change of budget allocation between outcomes or budget categories of more than 15%: </w:t>
            </w:r>
            <w:r w:rsidRPr="00B41915">
              <w:fldChar w:fldCharType="begin">
                <w:ffData>
                  <w:name w:val=""/>
                  <w:enabled/>
                  <w:calcOnExit w:val="0"/>
                  <w:checkBox>
                    <w:sizeAuto/>
                    <w:default w:val="0"/>
                  </w:checkBox>
                </w:ffData>
              </w:fldChar>
            </w:r>
            <w:r w:rsidRPr="00B41915">
              <w:instrText xml:space="preserve"> FORMCHECKBOX </w:instrText>
            </w:r>
            <w:r w:rsidR="00BA7646">
              <w:fldChar w:fldCharType="separate"/>
            </w:r>
            <w:r w:rsidRPr="00B41915">
              <w:fldChar w:fldCharType="end"/>
            </w:r>
          </w:p>
          <w:p w14:paraId="530E6965" w14:textId="6BF2B5C3" w:rsidR="0005448E" w:rsidRPr="00B41915" w:rsidRDefault="0005448E" w:rsidP="00D570C5">
            <w:pPr>
              <w:pStyle w:val="Header"/>
              <w:tabs>
                <w:tab w:val="clear" w:pos="4320"/>
                <w:tab w:val="clear" w:pos="8640"/>
              </w:tabs>
              <w:rPr>
                <w:b/>
                <w:bCs/>
                <w:szCs w:val="22"/>
              </w:rPr>
            </w:pPr>
            <w:r w:rsidRPr="00B41915">
              <w:rPr>
                <w:b/>
                <w:bCs/>
                <w:szCs w:val="22"/>
              </w:rPr>
              <w:t xml:space="preserve">Additional PBF budget: </w:t>
            </w:r>
            <w:r w:rsidRPr="00B41915">
              <w:fldChar w:fldCharType="begin">
                <w:ffData>
                  <w:name w:val=""/>
                  <w:enabled/>
                  <w:calcOnExit w:val="0"/>
                  <w:checkBox>
                    <w:sizeAuto/>
                    <w:default w:val="0"/>
                  </w:checkBox>
                </w:ffData>
              </w:fldChar>
            </w:r>
            <w:r w:rsidRPr="00B41915">
              <w:instrText xml:space="preserve"> FORMCHECKBOX </w:instrText>
            </w:r>
            <w:r w:rsidR="00BA7646">
              <w:fldChar w:fldCharType="separate"/>
            </w:r>
            <w:r w:rsidRPr="00B41915">
              <w:fldChar w:fldCharType="end"/>
            </w:r>
            <w:r w:rsidR="003D234B" w:rsidRPr="00B41915">
              <w:t xml:space="preserve"> Additional amount</w:t>
            </w:r>
            <w:r w:rsidR="00F07E7E" w:rsidRPr="00B41915">
              <w:t xml:space="preserve"> by recipient organization</w:t>
            </w:r>
            <w:r w:rsidR="003D234B" w:rsidRPr="00B41915">
              <w:t>: USD XXXXX</w:t>
            </w:r>
          </w:p>
          <w:p w14:paraId="67BF50E8" w14:textId="17687F35" w:rsidR="0005448E" w:rsidRPr="00B41915" w:rsidRDefault="0005448E" w:rsidP="00D570C5">
            <w:pPr>
              <w:pStyle w:val="Header"/>
              <w:tabs>
                <w:tab w:val="clear" w:pos="4320"/>
                <w:tab w:val="clear" w:pos="8640"/>
              </w:tabs>
              <w:rPr>
                <w:b/>
                <w:bCs/>
                <w:szCs w:val="22"/>
              </w:rPr>
            </w:pPr>
          </w:p>
          <w:p w14:paraId="1EE4D119" w14:textId="174695DE" w:rsidR="0005448E" w:rsidRPr="00B41915" w:rsidRDefault="0005448E" w:rsidP="00D570C5">
            <w:pPr>
              <w:pStyle w:val="Header"/>
              <w:tabs>
                <w:tab w:val="clear" w:pos="4320"/>
                <w:tab w:val="clear" w:pos="8640"/>
              </w:tabs>
              <w:rPr>
                <w:b/>
                <w:bCs/>
                <w:szCs w:val="22"/>
              </w:rPr>
            </w:pPr>
            <w:r w:rsidRPr="00B41915">
              <w:rPr>
                <w:b/>
                <w:bCs/>
                <w:szCs w:val="22"/>
              </w:rPr>
              <w:t>Brief justification</w:t>
            </w:r>
            <w:r w:rsidR="000F510B" w:rsidRPr="00B41915">
              <w:rPr>
                <w:b/>
                <w:bCs/>
                <w:szCs w:val="22"/>
              </w:rPr>
              <w:t xml:space="preserve"> for amendment</w:t>
            </w:r>
            <w:r w:rsidRPr="00B41915">
              <w:rPr>
                <w:b/>
                <w:bCs/>
                <w:szCs w:val="22"/>
              </w:rPr>
              <w:t>:</w:t>
            </w:r>
          </w:p>
          <w:p w14:paraId="613E5654" w14:textId="317EA089" w:rsidR="0005448E" w:rsidRPr="00B41915" w:rsidRDefault="0005448E" w:rsidP="00D570C5">
            <w:pPr>
              <w:pStyle w:val="Header"/>
              <w:tabs>
                <w:tab w:val="clear" w:pos="4320"/>
                <w:tab w:val="clear" w:pos="8640"/>
              </w:tabs>
              <w:rPr>
                <w:b/>
                <w:bCs/>
                <w:szCs w:val="22"/>
              </w:rPr>
            </w:pPr>
          </w:p>
          <w:p w14:paraId="044BF94C" w14:textId="77777777" w:rsidR="008510CD" w:rsidRPr="00B41915" w:rsidRDefault="0005448E" w:rsidP="00D570C5">
            <w:pPr>
              <w:pStyle w:val="Header"/>
              <w:tabs>
                <w:tab w:val="clear" w:pos="4320"/>
                <w:tab w:val="clear" w:pos="8640"/>
              </w:tabs>
              <w:rPr>
                <w:i/>
                <w:iCs/>
                <w:szCs w:val="22"/>
              </w:rPr>
            </w:pPr>
            <w:r w:rsidRPr="00B41915">
              <w:rPr>
                <w:i/>
                <w:iCs/>
                <w:szCs w:val="22"/>
              </w:rPr>
              <w:t>Note: If this is an amendment, show any changes to the project document in RED colour</w:t>
            </w:r>
            <w:r w:rsidR="000F510B" w:rsidRPr="00B41915">
              <w:rPr>
                <w:i/>
                <w:iCs/>
                <w:szCs w:val="22"/>
              </w:rPr>
              <w:t xml:space="preserve"> or</w:t>
            </w:r>
            <w:r w:rsidR="00651B28" w:rsidRPr="00B41915">
              <w:rPr>
                <w:i/>
                <w:iCs/>
                <w:szCs w:val="22"/>
              </w:rPr>
              <w:t xml:space="preserve"> in</w:t>
            </w:r>
          </w:p>
          <w:p w14:paraId="61E16FA9" w14:textId="7962988A" w:rsidR="0005448E" w:rsidRPr="00B41915" w:rsidRDefault="000F510B" w:rsidP="00D570C5">
            <w:pPr>
              <w:pStyle w:val="Header"/>
              <w:tabs>
                <w:tab w:val="clear" w:pos="4320"/>
                <w:tab w:val="clear" w:pos="8640"/>
              </w:tabs>
              <w:rPr>
                <w:i/>
                <w:iCs/>
                <w:szCs w:val="22"/>
              </w:rPr>
            </w:pPr>
            <w:r w:rsidRPr="00B41915">
              <w:rPr>
                <w:i/>
                <w:iCs/>
                <w:szCs w:val="22"/>
              </w:rPr>
              <w:t>TRACKED CHANGES</w:t>
            </w:r>
            <w:r w:rsidR="0005448E" w:rsidRPr="00B41915">
              <w:rPr>
                <w:i/>
                <w:iCs/>
                <w:szCs w:val="22"/>
              </w:rPr>
              <w:t xml:space="preserve">, ensuring a new result framework and budget tables are included with clearly visible changes. Any parts of the document which are not affected, should remain the same. New </w:t>
            </w:r>
            <w:r w:rsidRPr="00B41915">
              <w:rPr>
                <w:i/>
                <w:iCs/>
                <w:szCs w:val="22"/>
              </w:rPr>
              <w:t xml:space="preserve">project </w:t>
            </w:r>
            <w:r w:rsidR="0005448E" w:rsidRPr="00B41915">
              <w:rPr>
                <w:i/>
                <w:iCs/>
                <w:szCs w:val="22"/>
              </w:rPr>
              <w:t>signatures are required.</w:t>
            </w:r>
          </w:p>
          <w:p w14:paraId="11F7A02B" w14:textId="21F26444" w:rsidR="0005448E" w:rsidRPr="00B41915" w:rsidRDefault="0005448E" w:rsidP="00D570C5">
            <w:pPr>
              <w:pStyle w:val="Header"/>
              <w:tabs>
                <w:tab w:val="clear" w:pos="4320"/>
                <w:tab w:val="clear" w:pos="8640"/>
              </w:tabs>
              <w:rPr>
                <w:b/>
                <w:bCs/>
                <w:szCs w:val="22"/>
              </w:rPr>
            </w:pPr>
          </w:p>
        </w:tc>
      </w:tr>
    </w:tbl>
    <w:p w14:paraId="5C163F1B" w14:textId="41AAD122" w:rsidR="000F510B" w:rsidRPr="00B41915" w:rsidRDefault="000F510B" w:rsidP="00D570C5">
      <w:r w:rsidRPr="00B41915">
        <w:br w:type="page"/>
      </w:r>
    </w:p>
    <w:p w14:paraId="418F9E79" w14:textId="26964AEB" w:rsidR="009F0871" w:rsidRPr="00B41915" w:rsidRDefault="009F0871" w:rsidP="00D570C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rPr>
      </w:pPr>
      <w:r w:rsidRPr="00B41915">
        <w:rPr>
          <w:b/>
          <w:bCs/>
          <w:sz w:val="28"/>
          <w:szCs w:val="28"/>
        </w:rPr>
        <w:lastRenderedPageBreak/>
        <w:t>PROJECT SIGNATURES:</w:t>
      </w:r>
    </w:p>
    <w:p w14:paraId="3DBF56B5" w14:textId="77777777" w:rsidR="00AD48BA" w:rsidRPr="00B41915" w:rsidRDefault="00AD48BA" w:rsidP="00D570C5">
      <w:pPr>
        <w:pStyle w:val="BalloonText"/>
        <w:numPr>
          <w:ilvl w:val="12"/>
          <w:numId w:val="0"/>
        </w:numPr>
        <w:tabs>
          <w:tab w:val="left" w:pos="-720"/>
          <w:tab w:val="left" w:pos="4500"/>
        </w:tabs>
        <w:suppressAutoHyphens/>
        <w:rPr>
          <w:rFonts w:ascii="Times New Roman" w:hAnsi="Times New Roman" w:cs="Times New Roman"/>
          <w:spacing w:val="-3"/>
          <w:szCs w:val="20"/>
        </w:rPr>
      </w:pPr>
    </w:p>
    <w:p w14:paraId="706E33EB" w14:textId="77777777" w:rsidR="00AD48BA" w:rsidRPr="00B41915" w:rsidRDefault="00AD48BA" w:rsidP="00D570C5">
      <w:pPr>
        <w:pStyle w:val="BalloonText"/>
        <w:numPr>
          <w:ilvl w:val="12"/>
          <w:numId w:val="0"/>
        </w:numPr>
        <w:tabs>
          <w:tab w:val="left" w:pos="-720"/>
          <w:tab w:val="left" w:pos="4500"/>
        </w:tabs>
        <w:suppressAutoHyphens/>
        <w:rPr>
          <w:rFonts w:ascii="Times New Roman" w:hAnsi="Times New Roman" w:cs="Times New Roman"/>
          <w:spacing w:val="-3"/>
          <w:szCs w:val="20"/>
        </w:rPr>
      </w:pPr>
    </w:p>
    <w:tbl>
      <w:tblPr>
        <w:tblpPr w:leftFromText="180" w:rightFromText="180"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5094"/>
      </w:tblGrid>
      <w:tr w:rsidR="00AD48BA" w:rsidRPr="00B41915" w14:paraId="32C74875" w14:textId="77777777" w:rsidTr="00157AD8">
        <w:trPr>
          <w:trHeight w:val="2417"/>
        </w:trPr>
        <w:tc>
          <w:tcPr>
            <w:tcW w:w="2302" w:type="pct"/>
          </w:tcPr>
          <w:p w14:paraId="4ECABA3A" w14:textId="631F5839" w:rsidR="00AD48BA" w:rsidRPr="00B41915" w:rsidRDefault="00AD48BA" w:rsidP="00D570C5">
            <w:pPr>
              <w:jc w:val="both"/>
              <w:rPr>
                <w:b/>
                <w:sz w:val="20"/>
              </w:rPr>
            </w:pPr>
            <w:r w:rsidRPr="00B41915">
              <w:rPr>
                <w:b/>
                <w:sz w:val="20"/>
              </w:rPr>
              <w:t>Recipient Organization</w:t>
            </w:r>
            <w:r w:rsidR="00621DCA" w:rsidRPr="00B41915">
              <w:rPr>
                <w:rStyle w:val="FootnoteReference"/>
                <w:b/>
                <w:sz w:val="20"/>
              </w:rPr>
              <w:footnoteReference w:id="8"/>
            </w:r>
          </w:p>
          <w:p w14:paraId="525726A6" w14:textId="77777777" w:rsidR="00EC736F" w:rsidRPr="00B41915" w:rsidRDefault="00EC736F" w:rsidP="00D570C5">
            <w:pPr>
              <w:jc w:val="both"/>
              <w:rPr>
                <w:b/>
                <w:sz w:val="20"/>
              </w:rPr>
            </w:pPr>
          </w:p>
          <w:p w14:paraId="6B2B0A99" w14:textId="0286F651" w:rsidR="00AD48BA" w:rsidRPr="00B41915" w:rsidRDefault="0015121C" w:rsidP="00D570C5">
            <w:pPr>
              <w:jc w:val="both"/>
              <w:rPr>
                <w:sz w:val="20"/>
              </w:rPr>
            </w:pPr>
            <w:r>
              <w:rPr>
                <w:sz w:val="20"/>
              </w:rPr>
              <w:t xml:space="preserve">Ms. </w:t>
            </w:r>
            <w:r w:rsidR="00372A79" w:rsidRPr="00B41915">
              <w:rPr>
                <w:sz w:val="20"/>
              </w:rPr>
              <w:t>Alessandra Roccasalvo</w:t>
            </w:r>
          </w:p>
          <w:p w14:paraId="373214DD" w14:textId="2B287AD7" w:rsidR="00372A79" w:rsidRPr="00B41915" w:rsidRDefault="00372A79" w:rsidP="00D570C5">
            <w:pPr>
              <w:jc w:val="both"/>
              <w:rPr>
                <w:sz w:val="20"/>
              </w:rPr>
            </w:pPr>
            <w:r w:rsidRPr="00B41915">
              <w:rPr>
                <w:sz w:val="20"/>
              </w:rPr>
              <w:t>Resident Representative</w:t>
            </w:r>
            <w:r w:rsidR="00977B90">
              <w:rPr>
                <w:sz w:val="20"/>
              </w:rPr>
              <w:t xml:space="preserve"> </w:t>
            </w:r>
            <w:proofErr w:type="spellStart"/>
            <w:r w:rsidR="00977B90">
              <w:rPr>
                <w:sz w:val="20"/>
              </w:rPr>
              <w:t>a.i.</w:t>
            </w:r>
            <w:proofErr w:type="spellEnd"/>
            <w:r w:rsidR="0015121C">
              <w:rPr>
                <w:sz w:val="20"/>
              </w:rPr>
              <w:t>;</w:t>
            </w:r>
          </w:p>
          <w:p w14:paraId="6D428E95" w14:textId="340787E6" w:rsidR="00AD48BA" w:rsidRPr="00B41915" w:rsidRDefault="00372A79" w:rsidP="00D570C5">
            <w:pPr>
              <w:jc w:val="both"/>
              <w:rPr>
                <w:sz w:val="20"/>
              </w:rPr>
            </w:pPr>
            <w:r w:rsidRPr="00B41915">
              <w:rPr>
                <w:sz w:val="20"/>
              </w:rPr>
              <w:t xml:space="preserve">United Nations Development </w:t>
            </w:r>
            <w:proofErr w:type="spellStart"/>
            <w:r w:rsidRPr="00B41915">
              <w:rPr>
                <w:sz w:val="20"/>
              </w:rPr>
              <w:t>Programme</w:t>
            </w:r>
            <w:proofErr w:type="spellEnd"/>
            <w:r w:rsidRPr="00B41915">
              <w:rPr>
                <w:sz w:val="20"/>
              </w:rPr>
              <w:t xml:space="preserve"> (UNDP)</w:t>
            </w:r>
            <w:r w:rsidR="001B6EE8" w:rsidRPr="00B41915">
              <w:rPr>
                <w:sz w:val="20"/>
              </w:rPr>
              <w:t xml:space="preserve"> </w:t>
            </w:r>
            <w:r w:rsidR="006B73B2" w:rsidRPr="00B41915">
              <w:rPr>
                <w:sz w:val="20"/>
              </w:rPr>
              <w:t>/</w:t>
            </w:r>
            <w:r w:rsidR="001B6EE8" w:rsidRPr="00B41915">
              <w:rPr>
                <w:sz w:val="20"/>
              </w:rPr>
              <w:t xml:space="preserve"> </w:t>
            </w:r>
            <w:r w:rsidR="006B73B2" w:rsidRPr="00B41915">
              <w:rPr>
                <w:sz w:val="20"/>
              </w:rPr>
              <w:t>UN Volunteers (UNV)</w:t>
            </w:r>
            <w:r w:rsidR="00E1401D" w:rsidRPr="00B41915">
              <w:rPr>
                <w:sz w:val="20"/>
              </w:rPr>
              <w:t>, Kosovo</w:t>
            </w:r>
          </w:p>
          <w:p w14:paraId="2D64E5D6" w14:textId="30BF72C6" w:rsidR="00AD48BA" w:rsidRDefault="00AD48BA" w:rsidP="00D570C5">
            <w:pPr>
              <w:jc w:val="both"/>
              <w:rPr>
                <w:sz w:val="20"/>
              </w:rPr>
            </w:pPr>
          </w:p>
          <w:p w14:paraId="3BA2E3A2" w14:textId="4CF434D8" w:rsidR="0015121C" w:rsidRPr="00252F97" w:rsidRDefault="0015121C" w:rsidP="00D570C5">
            <w:pPr>
              <w:jc w:val="both"/>
              <w:rPr>
                <w:b/>
                <w:sz w:val="20"/>
              </w:rPr>
            </w:pPr>
            <w:r>
              <w:rPr>
                <w:sz w:val="20"/>
              </w:rPr>
              <w:t>Date &amp; Seal</w:t>
            </w:r>
          </w:p>
          <w:p w14:paraId="12D21863" w14:textId="77777777" w:rsidR="00CA4677" w:rsidRPr="00B41915" w:rsidRDefault="00CA4677" w:rsidP="00D570C5">
            <w:pPr>
              <w:jc w:val="both"/>
              <w:rPr>
                <w:i/>
                <w:color w:val="000000"/>
                <w:sz w:val="20"/>
              </w:rPr>
            </w:pPr>
          </w:p>
        </w:tc>
        <w:tc>
          <w:tcPr>
            <w:tcW w:w="2698" w:type="pct"/>
          </w:tcPr>
          <w:p w14:paraId="7B20824A" w14:textId="77777777" w:rsidR="00B924F2" w:rsidRPr="00B41915" w:rsidRDefault="00B924F2" w:rsidP="00B924F2">
            <w:pPr>
              <w:pStyle w:val="BalloonText"/>
              <w:numPr>
                <w:ilvl w:val="12"/>
                <w:numId w:val="0"/>
              </w:numPr>
              <w:tabs>
                <w:tab w:val="left" w:pos="-720"/>
                <w:tab w:val="left" w:pos="4500"/>
              </w:tabs>
              <w:suppressAutoHyphens/>
              <w:rPr>
                <w:rFonts w:ascii="Times New Roman" w:hAnsi="Times New Roman" w:cs="Times New Roman"/>
                <w:b/>
                <w:snapToGrid/>
                <w:sz w:val="20"/>
                <w:szCs w:val="24"/>
                <w:lang w:val="en-US"/>
              </w:rPr>
            </w:pPr>
            <w:r w:rsidRPr="00B41915">
              <w:rPr>
                <w:rFonts w:ascii="Times New Roman" w:hAnsi="Times New Roman" w:cs="Times New Roman"/>
                <w:b/>
                <w:snapToGrid/>
                <w:sz w:val="20"/>
                <w:szCs w:val="24"/>
                <w:lang w:val="en-US"/>
              </w:rPr>
              <w:t xml:space="preserve">Head of UN Kosovo Team </w:t>
            </w:r>
          </w:p>
          <w:p w14:paraId="29335B34" w14:textId="77777777" w:rsidR="00B924F2" w:rsidRPr="00B41915" w:rsidRDefault="00B924F2" w:rsidP="00B924F2">
            <w:pPr>
              <w:pStyle w:val="BalloonText"/>
              <w:numPr>
                <w:ilvl w:val="12"/>
                <w:numId w:val="0"/>
              </w:numPr>
              <w:tabs>
                <w:tab w:val="left" w:pos="-720"/>
                <w:tab w:val="left" w:pos="4500"/>
              </w:tabs>
              <w:suppressAutoHyphens/>
              <w:rPr>
                <w:i/>
                <w:sz w:val="18"/>
                <w:szCs w:val="18"/>
              </w:rPr>
            </w:pPr>
          </w:p>
          <w:p w14:paraId="323E995B" w14:textId="2F82E91C" w:rsidR="00B924F2" w:rsidRPr="00B41915" w:rsidRDefault="0015121C" w:rsidP="00B924F2">
            <w:pPr>
              <w:jc w:val="both"/>
              <w:rPr>
                <w:sz w:val="20"/>
              </w:rPr>
            </w:pPr>
            <w:r>
              <w:rPr>
                <w:sz w:val="20"/>
              </w:rPr>
              <w:t xml:space="preserve">Ms. </w:t>
            </w:r>
            <w:r w:rsidR="00B924F2" w:rsidRPr="00B41915">
              <w:rPr>
                <w:sz w:val="20"/>
              </w:rPr>
              <w:t>Ulrika Richardson</w:t>
            </w:r>
          </w:p>
          <w:p w14:paraId="268E0C21" w14:textId="77777777" w:rsidR="00B924F2" w:rsidRPr="00B41915" w:rsidRDefault="00B924F2" w:rsidP="00B924F2">
            <w:pPr>
              <w:jc w:val="both"/>
              <w:rPr>
                <w:sz w:val="20"/>
              </w:rPr>
            </w:pPr>
            <w:r w:rsidRPr="00B41915">
              <w:rPr>
                <w:sz w:val="20"/>
              </w:rPr>
              <w:t>UN Development Coordinator in Kosovo</w:t>
            </w:r>
          </w:p>
          <w:p w14:paraId="41828E03" w14:textId="77777777" w:rsidR="00AD48BA" w:rsidRDefault="00AD48BA" w:rsidP="00B924F2">
            <w:pPr>
              <w:pStyle w:val="Heading1"/>
              <w:rPr>
                <w:b w:val="0"/>
              </w:rPr>
            </w:pPr>
          </w:p>
          <w:p w14:paraId="488EE999" w14:textId="40D03A00" w:rsidR="0015121C" w:rsidRPr="00252F97" w:rsidRDefault="0015121C" w:rsidP="0015121C">
            <w:pPr>
              <w:jc w:val="both"/>
              <w:rPr>
                <w:b/>
                <w:sz w:val="20"/>
              </w:rPr>
            </w:pPr>
            <w:r>
              <w:rPr>
                <w:sz w:val="20"/>
              </w:rPr>
              <w:t>Date &amp; Seal</w:t>
            </w:r>
          </w:p>
          <w:p w14:paraId="7810ACEF" w14:textId="3C4BC2F2" w:rsidR="0015121C" w:rsidRPr="0015121C" w:rsidRDefault="0015121C" w:rsidP="0015121C"/>
        </w:tc>
      </w:tr>
      <w:tr w:rsidR="004F164B" w:rsidRPr="00B41915" w14:paraId="5BA9F397" w14:textId="77777777" w:rsidTr="00157AD8">
        <w:trPr>
          <w:trHeight w:val="2417"/>
        </w:trPr>
        <w:tc>
          <w:tcPr>
            <w:tcW w:w="2302" w:type="pct"/>
          </w:tcPr>
          <w:p w14:paraId="632DE81C" w14:textId="7215D439" w:rsidR="004F164B" w:rsidRPr="00B41915" w:rsidRDefault="004F164B" w:rsidP="00D570C5">
            <w:pPr>
              <w:jc w:val="both"/>
              <w:rPr>
                <w:b/>
                <w:sz w:val="20"/>
              </w:rPr>
            </w:pPr>
            <w:r w:rsidRPr="00B41915">
              <w:rPr>
                <w:b/>
                <w:sz w:val="20"/>
              </w:rPr>
              <w:t>Recipient Organization</w:t>
            </w:r>
          </w:p>
          <w:p w14:paraId="732E7799" w14:textId="77777777" w:rsidR="004F164B" w:rsidRPr="00B41915" w:rsidRDefault="004F164B" w:rsidP="00D570C5">
            <w:pPr>
              <w:jc w:val="both"/>
              <w:rPr>
                <w:b/>
                <w:sz w:val="20"/>
              </w:rPr>
            </w:pPr>
          </w:p>
          <w:p w14:paraId="12D883EF" w14:textId="4F644926" w:rsidR="00F90356" w:rsidRPr="00B41915" w:rsidRDefault="0015121C" w:rsidP="00D570C5">
            <w:pPr>
              <w:jc w:val="both"/>
              <w:rPr>
                <w:sz w:val="20"/>
              </w:rPr>
            </w:pPr>
            <w:r>
              <w:rPr>
                <w:sz w:val="20"/>
              </w:rPr>
              <w:t xml:space="preserve">Mr. </w:t>
            </w:r>
            <w:r w:rsidR="00F90356" w:rsidRPr="00B41915">
              <w:rPr>
                <w:sz w:val="20"/>
              </w:rPr>
              <w:t xml:space="preserve">Murat </w:t>
            </w:r>
            <w:proofErr w:type="spellStart"/>
            <w:r w:rsidR="00F90356" w:rsidRPr="00B41915">
              <w:rPr>
                <w:sz w:val="20"/>
              </w:rPr>
              <w:t>Sahin</w:t>
            </w:r>
            <w:proofErr w:type="spellEnd"/>
          </w:p>
          <w:p w14:paraId="531E345E" w14:textId="52641895" w:rsidR="004F164B" w:rsidRPr="00B41915" w:rsidRDefault="00F90356" w:rsidP="00D570C5">
            <w:pPr>
              <w:jc w:val="both"/>
              <w:rPr>
                <w:sz w:val="20"/>
              </w:rPr>
            </w:pPr>
            <w:r w:rsidRPr="00B41915">
              <w:rPr>
                <w:sz w:val="20"/>
              </w:rPr>
              <w:t>Head of Office, Kosovo</w:t>
            </w:r>
            <w:r w:rsidR="0015121C">
              <w:rPr>
                <w:sz w:val="20"/>
              </w:rPr>
              <w:t>;</w:t>
            </w:r>
          </w:p>
          <w:p w14:paraId="30323DF2" w14:textId="77777777" w:rsidR="004F164B" w:rsidRDefault="00372A79" w:rsidP="0015121C">
            <w:pPr>
              <w:jc w:val="both"/>
              <w:rPr>
                <w:sz w:val="20"/>
              </w:rPr>
            </w:pPr>
            <w:r w:rsidRPr="00B41915">
              <w:rPr>
                <w:sz w:val="20"/>
              </w:rPr>
              <w:t>United Nations Children’s Fund (UNICEF)</w:t>
            </w:r>
          </w:p>
          <w:p w14:paraId="370F5431" w14:textId="77777777" w:rsidR="0015121C" w:rsidRDefault="0015121C" w:rsidP="0015121C">
            <w:pPr>
              <w:jc w:val="both"/>
              <w:rPr>
                <w:sz w:val="20"/>
              </w:rPr>
            </w:pPr>
          </w:p>
          <w:p w14:paraId="621DB484" w14:textId="32055F3C" w:rsidR="0015121C" w:rsidRPr="00252F97" w:rsidRDefault="0015121C" w:rsidP="0015121C">
            <w:pPr>
              <w:jc w:val="both"/>
              <w:rPr>
                <w:b/>
                <w:sz w:val="20"/>
              </w:rPr>
            </w:pPr>
            <w:r>
              <w:rPr>
                <w:sz w:val="20"/>
              </w:rPr>
              <w:t>Date &amp; Seal</w:t>
            </w:r>
          </w:p>
          <w:p w14:paraId="64F8D87F" w14:textId="127F41E3" w:rsidR="0015121C" w:rsidRPr="0015121C" w:rsidRDefault="0015121C" w:rsidP="0015121C">
            <w:pPr>
              <w:jc w:val="both"/>
              <w:rPr>
                <w:sz w:val="20"/>
              </w:rPr>
            </w:pPr>
          </w:p>
        </w:tc>
        <w:tc>
          <w:tcPr>
            <w:tcW w:w="2698" w:type="pct"/>
          </w:tcPr>
          <w:p w14:paraId="5B17E399" w14:textId="77777777" w:rsidR="00B924F2" w:rsidRPr="00B41915" w:rsidRDefault="00B924F2" w:rsidP="00B924F2">
            <w:pPr>
              <w:jc w:val="both"/>
              <w:rPr>
                <w:b/>
                <w:sz w:val="20"/>
              </w:rPr>
            </w:pPr>
            <w:r w:rsidRPr="00B41915">
              <w:rPr>
                <w:b/>
                <w:sz w:val="20"/>
              </w:rPr>
              <w:t>Peacebuilding Support Office (PBSO)</w:t>
            </w:r>
          </w:p>
          <w:p w14:paraId="3E833E7F" w14:textId="77777777" w:rsidR="00B924F2" w:rsidRPr="00B41915" w:rsidRDefault="00B924F2" w:rsidP="00B924F2">
            <w:pPr>
              <w:jc w:val="both"/>
              <w:rPr>
                <w:i/>
                <w:sz w:val="20"/>
              </w:rPr>
            </w:pPr>
          </w:p>
          <w:p w14:paraId="3E99E9B5" w14:textId="77777777" w:rsidR="0015121C" w:rsidRDefault="0015121C" w:rsidP="00B924F2">
            <w:pPr>
              <w:jc w:val="both"/>
              <w:rPr>
                <w:sz w:val="20"/>
              </w:rPr>
            </w:pPr>
            <w:r w:rsidRPr="0015121C">
              <w:rPr>
                <w:sz w:val="20"/>
              </w:rPr>
              <w:t>Mr. Oscar Fernandez-</w:t>
            </w:r>
            <w:proofErr w:type="spellStart"/>
            <w:r w:rsidRPr="0015121C">
              <w:rPr>
                <w:sz w:val="20"/>
              </w:rPr>
              <w:t>Taranco</w:t>
            </w:r>
            <w:proofErr w:type="spellEnd"/>
          </w:p>
          <w:p w14:paraId="1DD223EA" w14:textId="77777777" w:rsidR="00B924F2" w:rsidRPr="0015121C" w:rsidRDefault="00B924F2" w:rsidP="00B924F2">
            <w:pPr>
              <w:rPr>
                <w:sz w:val="20"/>
              </w:rPr>
            </w:pPr>
            <w:r w:rsidRPr="0015121C">
              <w:rPr>
                <w:sz w:val="20"/>
              </w:rPr>
              <w:t>Assistant Secretary-General, Peacebuilding Support Office</w:t>
            </w:r>
          </w:p>
          <w:p w14:paraId="2116D318" w14:textId="77777777" w:rsidR="0015121C" w:rsidRDefault="0015121C" w:rsidP="00B924F2">
            <w:pPr>
              <w:pStyle w:val="Heading1"/>
              <w:rPr>
                <w:b w:val="0"/>
                <w:bCs/>
                <w:sz w:val="20"/>
              </w:rPr>
            </w:pPr>
          </w:p>
          <w:p w14:paraId="21B89051" w14:textId="3BD62359" w:rsidR="00B924F2" w:rsidRPr="0015121C" w:rsidRDefault="00B924F2" w:rsidP="00B924F2">
            <w:pPr>
              <w:pStyle w:val="Heading1"/>
              <w:rPr>
                <w:b w:val="0"/>
                <w:bCs/>
                <w:spacing w:val="-6"/>
              </w:rPr>
            </w:pPr>
            <w:r w:rsidRPr="0015121C">
              <w:rPr>
                <w:b w:val="0"/>
                <w:bCs/>
                <w:sz w:val="20"/>
              </w:rPr>
              <w:t>Date</w:t>
            </w:r>
            <w:r w:rsidR="0015121C">
              <w:rPr>
                <w:b w:val="0"/>
                <w:bCs/>
                <w:sz w:val="20"/>
              </w:rPr>
              <w:t xml:space="preserve"> </w:t>
            </w:r>
            <w:r w:rsidRPr="0015121C">
              <w:rPr>
                <w:b w:val="0"/>
                <w:bCs/>
                <w:sz w:val="20"/>
              </w:rPr>
              <w:t>&amp; Seal</w:t>
            </w:r>
          </w:p>
          <w:p w14:paraId="39967241" w14:textId="77777777" w:rsidR="004F164B" w:rsidRPr="00B41915" w:rsidRDefault="004F164B" w:rsidP="00B924F2">
            <w:pPr>
              <w:pStyle w:val="Heading1"/>
              <w:rPr>
                <w:b w:val="0"/>
                <w:sz w:val="20"/>
              </w:rPr>
            </w:pPr>
          </w:p>
        </w:tc>
      </w:tr>
      <w:tr w:rsidR="004F164B" w:rsidRPr="00FF1C61" w14:paraId="31C50393" w14:textId="77777777" w:rsidTr="00157AD8">
        <w:trPr>
          <w:trHeight w:val="2417"/>
        </w:trPr>
        <w:tc>
          <w:tcPr>
            <w:tcW w:w="2302" w:type="pct"/>
          </w:tcPr>
          <w:p w14:paraId="7F4C0D45" w14:textId="2F59A795" w:rsidR="004F164B" w:rsidRPr="00B41915" w:rsidRDefault="004F164B" w:rsidP="00D570C5">
            <w:pPr>
              <w:jc w:val="both"/>
              <w:rPr>
                <w:b/>
                <w:sz w:val="20"/>
              </w:rPr>
            </w:pPr>
            <w:r w:rsidRPr="00B41915">
              <w:rPr>
                <w:b/>
                <w:sz w:val="20"/>
              </w:rPr>
              <w:t>Recipient Organization</w:t>
            </w:r>
          </w:p>
          <w:p w14:paraId="23A61C09" w14:textId="77777777" w:rsidR="004F164B" w:rsidRPr="00B41915" w:rsidRDefault="004F164B" w:rsidP="00D570C5">
            <w:pPr>
              <w:jc w:val="both"/>
              <w:rPr>
                <w:b/>
                <w:sz w:val="20"/>
              </w:rPr>
            </w:pPr>
          </w:p>
          <w:p w14:paraId="6C25446B" w14:textId="1F939189" w:rsidR="00DF7B9B" w:rsidRPr="00335BCA" w:rsidRDefault="0015121C" w:rsidP="00D570C5">
            <w:pPr>
              <w:jc w:val="both"/>
              <w:rPr>
                <w:sz w:val="20"/>
              </w:rPr>
            </w:pPr>
            <w:r>
              <w:rPr>
                <w:sz w:val="20"/>
              </w:rPr>
              <w:t xml:space="preserve">Ms. </w:t>
            </w:r>
            <w:r w:rsidR="00DF7B9B" w:rsidRPr="00335BCA">
              <w:rPr>
                <w:sz w:val="20"/>
              </w:rPr>
              <w:t>Alia El-</w:t>
            </w:r>
            <w:proofErr w:type="spellStart"/>
            <w:r w:rsidR="00DF7B9B" w:rsidRPr="00335BCA">
              <w:rPr>
                <w:sz w:val="20"/>
              </w:rPr>
              <w:t>Yassir</w:t>
            </w:r>
            <w:proofErr w:type="spellEnd"/>
          </w:p>
          <w:p w14:paraId="1F1E139A" w14:textId="7B42F2A8" w:rsidR="00C26941" w:rsidRPr="00851FBE" w:rsidRDefault="00DF7B9B" w:rsidP="00D570C5">
            <w:pPr>
              <w:jc w:val="both"/>
              <w:rPr>
                <w:sz w:val="20"/>
              </w:rPr>
            </w:pPr>
            <w:r w:rsidRPr="00335BCA">
              <w:rPr>
                <w:sz w:val="20"/>
              </w:rPr>
              <w:t>Regional Director for Europe and Central Asia</w:t>
            </w:r>
            <w:r w:rsidR="0015121C">
              <w:rPr>
                <w:sz w:val="20"/>
              </w:rPr>
              <w:t>;</w:t>
            </w:r>
          </w:p>
          <w:p w14:paraId="6FCDA4C8" w14:textId="1FF538E1" w:rsidR="004F164B" w:rsidRPr="00B41915" w:rsidRDefault="00765DE6" w:rsidP="00D570C5">
            <w:pPr>
              <w:jc w:val="both"/>
              <w:rPr>
                <w:sz w:val="20"/>
              </w:rPr>
            </w:pPr>
            <w:r w:rsidRPr="00851FBE">
              <w:rPr>
                <w:sz w:val="20"/>
              </w:rPr>
              <w:t>United Nations Entit</w:t>
            </w:r>
            <w:r w:rsidR="004F164B" w:rsidRPr="00851FBE">
              <w:rPr>
                <w:sz w:val="20"/>
              </w:rPr>
              <w:t>y</w:t>
            </w:r>
            <w:r w:rsidRPr="00851FBE">
              <w:rPr>
                <w:sz w:val="20"/>
              </w:rPr>
              <w:t xml:space="preserve"> for</w:t>
            </w:r>
            <w:r w:rsidRPr="00851FBE">
              <w:t xml:space="preserve"> </w:t>
            </w:r>
            <w:r w:rsidRPr="00851FBE">
              <w:rPr>
                <w:sz w:val="20"/>
              </w:rPr>
              <w:t xml:space="preserve">Gender Equality and the Empowerment of Women (UN </w:t>
            </w:r>
            <w:r w:rsidRPr="00DF7B9B">
              <w:rPr>
                <w:sz w:val="20"/>
              </w:rPr>
              <w:t>Women)</w:t>
            </w:r>
          </w:p>
          <w:p w14:paraId="31BDF70E" w14:textId="77777777" w:rsidR="004F164B" w:rsidRDefault="004F164B" w:rsidP="0015121C">
            <w:pPr>
              <w:jc w:val="both"/>
              <w:rPr>
                <w:sz w:val="20"/>
              </w:rPr>
            </w:pPr>
          </w:p>
          <w:p w14:paraId="5FBBA23C" w14:textId="4E6A301C" w:rsidR="0015121C" w:rsidRPr="00252F97" w:rsidRDefault="0015121C" w:rsidP="0015121C">
            <w:pPr>
              <w:jc w:val="both"/>
              <w:rPr>
                <w:b/>
                <w:sz w:val="20"/>
              </w:rPr>
            </w:pPr>
            <w:r>
              <w:rPr>
                <w:sz w:val="20"/>
              </w:rPr>
              <w:t>Date &amp; Seal</w:t>
            </w:r>
          </w:p>
          <w:p w14:paraId="3217ED5B" w14:textId="2B5D34C3" w:rsidR="0015121C" w:rsidRPr="00161094" w:rsidRDefault="0015121C" w:rsidP="0015121C">
            <w:pPr>
              <w:jc w:val="both"/>
              <w:rPr>
                <w:b/>
                <w:sz w:val="20"/>
              </w:rPr>
            </w:pPr>
          </w:p>
        </w:tc>
        <w:tc>
          <w:tcPr>
            <w:tcW w:w="2698" w:type="pct"/>
          </w:tcPr>
          <w:p w14:paraId="5AF98736" w14:textId="77777777" w:rsidR="004F164B" w:rsidRPr="00161094" w:rsidRDefault="004F164B" w:rsidP="00D570C5">
            <w:pPr>
              <w:rPr>
                <w:b/>
                <w:sz w:val="20"/>
              </w:rPr>
            </w:pPr>
          </w:p>
        </w:tc>
      </w:tr>
    </w:tbl>
    <w:p w14:paraId="431A5A29" w14:textId="77777777" w:rsidR="00B16711" w:rsidRDefault="00B16711" w:rsidP="00D570C5">
      <w:pPr>
        <w:rPr>
          <w:b/>
        </w:rPr>
      </w:pPr>
      <w:r>
        <w:rPr>
          <w:b/>
        </w:rPr>
        <w:br w:type="page"/>
      </w:r>
    </w:p>
    <w:p w14:paraId="3AF08FBC" w14:textId="34FDC0B8" w:rsidR="005C1649" w:rsidRDefault="005A6202" w:rsidP="00EF1B08">
      <w:pPr>
        <w:numPr>
          <w:ilvl w:val="0"/>
          <w:numId w:val="6"/>
        </w:numPr>
        <w:rPr>
          <w:b/>
        </w:rPr>
      </w:pPr>
      <w:r>
        <w:rPr>
          <w:b/>
        </w:rPr>
        <w:lastRenderedPageBreak/>
        <w:t>Peacebuilding Context and Rationale for PBF support</w:t>
      </w:r>
      <w:r w:rsidR="00F358DC">
        <w:rPr>
          <w:b/>
        </w:rPr>
        <w:t xml:space="preserve"> (4</w:t>
      </w:r>
      <w:r w:rsidR="0056650A">
        <w:rPr>
          <w:b/>
        </w:rPr>
        <w:t xml:space="preserve"> pages</w:t>
      </w:r>
      <w:r w:rsidR="00CD0F68">
        <w:rPr>
          <w:b/>
        </w:rPr>
        <w:t xml:space="preserve"> max</w:t>
      </w:r>
      <w:r w:rsidR="0056650A">
        <w:rPr>
          <w:b/>
        </w:rPr>
        <w:t>)</w:t>
      </w:r>
    </w:p>
    <w:p w14:paraId="39C6FAB6" w14:textId="77777777" w:rsidR="009F0871" w:rsidRPr="00FD3EA8" w:rsidRDefault="009F0871" w:rsidP="00D570C5">
      <w:pPr>
        <w:ind w:left="1080"/>
        <w:rPr>
          <w:b/>
        </w:rPr>
      </w:pPr>
    </w:p>
    <w:p w14:paraId="218CE2AC" w14:textId="2FAD79D0" w:rsidR="00D95B09" w:rsidRPr="00E810B0" w:rsidRDefault="00AF4077" w:rsidP="00E810B0">
      <w:pPr>
        <w:numPr>
          <w:ilvl w:val="0"/>
          <w:numId w:val="4"/>
        </w:numPr>
        <w:jc w:val="both"/>
        <w:rPr>
          <w:i/>
        </w:rPr>
      </w:pPr>
      <w:proofErr w:type="gramStart"/>
      <w:r w:rsidRPr="00E810B0">
        <w:rPr>
          <w:i/>
        </w:rPr>
        <w:t>A brief s</w:t>
      </w:r>
      <w:r w:rsidR="0033583B" w:rsidRPr="00E810B0">
        <w:rPr>
          <w:i/>
        </w:rPr>
        <w:t>ummary</w:t>
      </w:r>
      <w:proofErr w:type="gramEnd"/>
      <w:r w:rsidR="0033583B" w:rsidRPr="00E810B0">
        <w:rPr>
          <w:i/>
        </w:rPr>
        <w:t xml:space="preserve"> of </w:t>
      </w:r>
      <w:r w:rsidRPr="00E810B0">
        <w:rPr>
          <w:b/>
          <w:bCs/>
          <w:i/>
        </w:rPr>
        <w:t>conflict analysis findings</w:t>
      </w:r>
      <w:r w:rsidRPr="00E810B0">
        <w:rPr>
          <w:i/>
        </w:rPr>
        <w:t xml:space="preserve"> as they relate to this project, </w:t>
      </w:r>
      <w:r w:rsidR="002E770B" w:rsidRPr="00E810B0">
        <w:rPr>
          <w:i/>
        </w:rPr>
        <w:t>focusing on the</w:t>
      </w:r>
      <w:r w:rsidRPr="00E810B0">
        <w:rPr>
          <w:i/>
        </w:rPr>
        <w:t xml:space="preserve"> driving factors of tensions/</w:t>
      </w:r>
      <w:r w:rsidR="002E770B" w:rsidRPr="00E810B0">
        <w:rPr>
          <w:i/>
        </w:rPr>
        <w:t xml:space="preserve">conflict that the project aims to address </w:t>
      </w:r>
      <w:r w:rsidRPr="00E810B0">
        <w:rPr>
          <w:i/>
        </w:rPr>
        <w:t xml:space="preserve">and </w:t>
      </w:r>
      <w:r w:rsidR="00760D18" w:rsidRPr="00E810B0">
        <w:rPr>
          <w:i/>
        </w:rPr>
        <w:t xml:space="preserve">an analysis of the </w:t>
      </w:r>
      <w:r w:rsidR="00B04F13" w:rsidRPr="00E810B0">
        <w:rPr>
          <w:i/>
        </w:rPr>
        <w:t xml:space="preserve">main </w:t>
      </w:r>
      <w:r w:rsidRPr="00E810B0">
        <w:rPr>
          <w:i/>
        </w:rPr>
        <w:t>actors</w:t>
      </w:r>
      <w:r w:rsidR="00F8262A" w:rsidRPr="00E810B0">
        <w:rPr>
          <w:i/>
        </w:rPr>
        <w:t>/ stakeholders</w:t>
      </w:r>
      <w:r w:rsidRPr="00E810B0">
        <w:rPr>
          <w:i/>
        </w:rPr>
        <w:t xml:space="preserve"> that have an impact on </w:t>
      </w:r>
      <w:r w:rsidR="00B04F13" w:rsidRPr="00E810B0">
        <w:rPr>
          <w:i/>
        </w:rPr>
        <w:t xml:space="preserve">or </w:t>
      </w:r>
      <w:r w:rsidRPr="00E810B0">
        <w:rPr>
          <w:i/>
        </w:rPr>
        <w:t>are impacted by the driving factors</w:t>
      </w:r>
      <w:r w:rsidR="00760D18" w:rsidRPr="00E810B0">
        <w:rPr>
          <w:i/>
        </w:rPr>
        <w:t>, which the project will aim to engage</w:t>
      </w:r>
      <w:r w:rsidR="00C8504C" w:rsidRPr="00E810B0">
        <w:rPr>
          <w:i/>
        </w:rPr>
        <w:t xml:space="preserve">. </w:t>
      </w:r>
      <w:r w:rsidR="00760D18" w:rsidRPr="00E810B0">
        <w:rPr>
          <w:i/>
        </w:rPr>
        <w:t>This analysis must</w:t>
      </w:r>
      <w:r w:rsidR="00C8504C" w:rsidRPr="00E810B0">
        <w:rPr>
          <w:i/>
        </w:rPr>
        <w:t xml:space="preserve"> be </w:t>
      </w:r>
      <w:bookmarkStart w:id="2" w:name="_Hlk503946971"/>
      <w:r w:rsidR="00D050B2" w:rsidRPr="00E810B0">
        <w:rPr>
          <w:i/>
        </w:rPr>
        <w:t>gender- and age- sensitiv</w:t>
      </w:r>
      <w:bookmarkEnd w:id="2"/>
      <w:r w:rsidR="001A7841" w:rsidRPr="00E810B0">
        <w:rPr>
          <w:i/>
        </w:rPr>
        <w:t>e</w:t>
      </w:r>
      <w:r w:rsidRPr="00E810B0">
        <w:rPr>
          <w:i/>
        </w:rPr>
        <w:t>.</w:t>
      </w:r>
    </w:p>
    <w:p w14:paraId="34E0B00F" w14:textId="77777777" w:rsidR="001B2FD8" w:rsidRPr="00E810B0" w:rsidRDefault="001B2FD8" w:rsidP="00E810B0">
      <w:pPr>
        <w:ind w:left="720"/>
        <w:jc w:val="both"/>
        <w:rPr>
          <w:i/>
        </w:rPr>
      </w:pPr>
    </w:p>
    <w:p w14:paraId="2ACF058B" w14:textId="040BA9A7" w:rsidR="00D3740D" w:rsidRPr="00E810B0" w:rsidRDefault="00AF4077" w:rsidP="00E810B0">
      <w:pPr>
        <w:numPr>
          <w:ilvl w:val="0"/>
          <w:numId w:val="4"/>
        </w:numPr>
        <w:jc w:val="both"/>
        <w:rPr>
          <w:i/>
        </w:rPr>
      </w:pPr>
      <w:r w:rsidRPr="00E810B0">
        <w:rPr>
          <w:i/>
        </w:rPr>
        <w:t>A brief description of how the project aligns with</w:t>
      </w:r>
      <w:r w:rsidR="00F8262A" w:rsidRPr="00E810B0">
        <w:rPr>
          <w:i/>
        </w:rPr>
        <w:t>/ supports</w:t>
      </w:r>
      <w:r w:rsidRPr="00E810B0">
        <w:rPr>
          <w:i/>
        </w:rPr>
        <w:t xml:space="preserve"> </w:t>
      </w:r>
      <w:r w:rsidRPr="00E810B0">
        <w:rPr>
          <w:b/>
          <w:bCs/>
          <w:i/>
        </w:rPr>
        <w:t xml:space="preserve">existing </w:t>
      </w:r>
      <w:r w:rsidR="00F8262A" w:rsidRPr="00E810B0">
        <w:rPr>
          <w:i/>
        </w:rPr>
        <w:t>Governmental and</w:t>
      </w:r>
      <w:r w:rsidR="00DD6EEE" w:rsidRPr="00E810B0">
        <w:rPr>
          <w:i/>
        </w:rPr>
        <w:t xml:space="preserve"> UN</w:t>
      </w:r>
      <w:r w:rsidR="00DD6EEE" w:rsidRPr="00E810B0">
        <w:rPr>
          <w:b/>
          <w:bCs/>
          <w:i/>
        </w:rPr>
        <w:t xml:space="preserve"> </w:t>
      </w:r>
      <w:r w:rsidRPr="00E810B0">
        <w:rPr>
          <w:b/>
          <w:bCs/>
          <w:i/>
        </w:rPr>
        <w:t>strategic frameworks</w:t>
      </w:r>
      <w:r w:rsidR="00F8262A" w:rsidRPr="00E810B0">
        <w:rPr>
          <w:b/>
          <w:bCs/>
          <w:i/>
        </w:rPr>
        <w:t xml:space="preserve">, </w:t>
      </w:r>
      <w:r w:rsidR="00F8262A" w:rsidRPr="00E810B0">
        <w:rPr>
          <w:i/>
        </w:rPr>
        <w:t>how it ensures</w:t>
      </w:r>
      <w:r w:rsidR="00F8262A" w:rsidRPr="00E810B0">
        <w:rPr>
          <w:b/>
          <w:bCs/>
          <w:i/>
        </w:rPr>
        <w:t xml:space="preserve"> national ownership</w:t>
      </w:r>
      <w:r w:rsidR="00DD6EEE" w:rsidRPr="00E810B0">
        <w:rPr>
          <w:i/>
        </w:rPr>
        <w:t xml:space="preserve"> </w:t>
      </w:r>
      <w:r w:rsidRPr="00E810B0">
        <w:rPr>
          <w:i/>
        </w:rPr>
        <w:t>and how the project complements</w:t>
      </w:r>
      <w:r w:rsidR="00760D18" w:rsidRPr="00E810B0">
        <w:rPr>
          <w:i/>
        </w:rPr>
        <w:t>/ builds on</w:t>
      </w:r>
      <w:r w:rsidRPr="00E810B0">
        <w:rPr>
          <w:i/>
        </w:rPr>
        <w:t xml:space="preserve"> any other relevant interventions in this sector/area</w:t>
      </w:r>
      <w:r w:rsidR="00760D18" w:rsidRPr="00E810B0">
        <w:rPr>
          <w:i/>
        </w:rPr>
        <w:t>, including any lessons from previous PBF support</w:t>
      </w:r>
      <w:r w:rsidRPr="00E810B0">
        <w:rPr>
          <w:i/>
        </w:rPr>
        <w:t>.</w:t>
      </w:r>
    </w:p>
    <w:p w14:paraId="66908FE8" w14:textId="52D25F9E" w:rsidR="00640556" w:rsidRDefault="00640556" w:rsidP="00D570C5"/>
    <w:p w14:paraId="16093BBC" w14:textId="5508D588" w:rsidR="000B685C" w:rsidRPr="00AC78AE" w:rsidRDefault="024F8808" w:rsidP="00D570C5">
      <w:pPr>
        <w:jc w:val="both"/>
        <w:rPr>
          <w:b/>
          <w:bCs/>
        </w:rPr>
      </w:pPr>
      <w:r w:rsidRPr="024F8808">
        <w:rPr>
          <w:b/>
          <w:bCs/>
        </w:rPr>
        <w:t>Conflict analysis</w:t>
      </w:r>
    </w:p>
    <w:p w14:paraId="1332B3B5" w14:textId="034E73BB" w:rsidR="024F8808" w:rsidRDefault="024F8808" w:rsidP="00D570C5">
      <w:pPr>
        <w:jc w:val="both"/>
      </w:pPr>
    </w:p>
    <w:p w14:paraId="6870FAB0" w14:textId="703EDFFC" w:rsidR="00B01EC9" w:rsidRPr="00AC78AE" w:rsidRDefault="00196840" w:rsidP="00B01EC9">
      <w:pPr>
        <w:jc w:val="both"/>
      </w:pPr>
      <w:r w:rsidRPr="00AC78AE">
        <w:t xml:space="preserve">Despite the end of violent conflict in 1999, </w:t>
      </w:r>
      <w:r>
        <w:t xml:space="preserve">mistrust across multiple communities </w:t>
      </w:r>
      <w:r w:rsidR="00B01EC9">
        <w:t xml:space="preserve">in Kosovo that </w:t>
      </w:r>
      <w:r w:rsidR="00B01EC9" w:rsidRPr="00AC78AE">
        <w:t>have remained largely separated, geographically, culturally and politically</w:t>
      </w:r>
      <w:r w:rsidR="00B01EC9">
        <w:t xml:space="preserve">, </w:t>
      </w:r>
      <w:r>
        <w:t xml:space="preserve">still divides many and prevents them from contemplating mutual efforts aimed at building a shared social platform. </w:t>
      </w:r>
      <w:r w:rsidR="00B01EC9" w:rsidRPr="00AC78AE">
        <w:t>While some degree of political integration has been achieved, social, cultural and economic integration</w:t>
      </w:r>
      <w:r w:rsidR="005962A8">
        <w:t>,</w:t>
      </w:r>
      <w:r w:rsidR="00B01EC9" w:rsidRPr="00AC78AE">
        <w:t xml:space="preserve"> </w:t>
      </w:r>
      <w:r w:rsidR="005962A8">
        <w:t xml:space="preserve">including at the community level, </w:t>
      </w:r>
      <w:r w:rsidR="00B01EC9" w:rsidRPr="00AC78AE">
        <w:t xml:space="preserve">has been minimal. </w:t>
      </w:r>
      <w:r>
        <w:t>The imprint of conflict, and the subsequent waves of violence</w:t>
      </w:r>
      <w:r w:rsidR="00F20E64">
        <w:t>,</w:t>
      </w:r>
      <w:r>
        <w:t xml:space="preserve"> </w:t>
      </w:r>
      <w:r w:rsidR="00F20E64">
        <w:t>remains</w:t>
      </w:r>
      <w:r>
        <w:t xml:space="preserve"> in the minds of people and continues to complicate </w:t>
      </w:r>
      <w:r w:rsidR="00F20E64">
        <w:t xml:space="preserve">a peaceful </w:t>
      </w:r>
      <w:r>
        <w:t xml:space="preserve">way forward. </w:t>
      </w:r>
      <w:r w:rsidRPr="00AC78AE">
        <w:t xml:space="preserve">There has been no </w:t>
      </w:r>
      <w:r>
        <w:t>consensual truth and reconciliation</w:t>
      </w:r>
      <w:r w:rsidRPr="00AC78AE">
        <w:t xml:space="preserve"> process</w:t>
      </w:r>
      <w:r>
        <w:t xml:space="preserve"> </w:t>
      </w:r>
      <w:r w:rsidR="00F20E64">
        <w:t>yet</w:t>
      </w:r>
      <w:r w:rsidRPr="00AC78AE">
        <w:t xml:space="preserve">, </w:t>
      </w:r>
      <w:r>
        <w:t xml:space="preserve">and inter-community </w:t>
      </w:r>
      <w:r w:rsidRPr="00AC78AE">
        <w:t xml:space="preserve">reconciliation remains elusive. </w:t>
      </w:r>
      <w:r>
        <w:t xml:space="preserve">Even the younger generation </w:t>
      </w:r>
      <w:r w:rsidRPr="00AC78AE">
        <w:t xml:space="preserve">in Kosovo, </w:t>
      </w:r>
      <w:r>
        <w:t>mainly informed</w:t>
      </w:r>
      <w:r w:rsidRPr="00AC78AE">
        <w:t xml:space="preserve"> by </w:t>
      </w:r>
      <w:r>
        <w:t xml:space="preserve">antagonist </w:t>
      </w:r>
      <w:r w:rsidRPr="00AC78AE">
        <w:t xml:space="preserve">conflict narratives </w:t>
      </w:r>
      <w:r>
        <w:t>taught through the two parallel educational systems</w:t>
      </w:r>
      <w:r w:rsidRPr="00AC78AE">
        <w:t xml:space="preserve">, </w:t>
      </w:r>
      <w:r>
        <w:t>has</w:t>
      </w:r>
      <w:r w:rsidRPr="00AC78AE">
        <w:t xml:space="preserve"> severely limited </w:t>
      </w:r>
      <w:r>
        <w:t xml:space="preserve">cross-community </w:t>
      </w:r>
      <w:r w:rsidRPr="00AC78AE">
        <w:t>interaction</w:t>
      </w:r>
      <w:r>
        <w:t xml:space="preserve"> and</w:t>
      </w:r>
      <w:r w:rsidRPr="00AC78AE">
        <w:t xml:space="preserve"> is vulnerable to inherited prejudice</w:t>
      </w:r>
      <w:r>
        <w:t xml:space="preserve">, which </w:t>
      </w:r>
      <w:r w:rsidRPr="00AC78AE">
        <w:t>inhibit</w:t>
      </w:r>
      <w:r>
        <w:t>s trust-</w:t>
      </w:r>
      <w:r w:rsidRPr="00AC78AE">
        <w:t>building.</w:t>
      </w:r>
      <w:r>
        <w:t xml:space="preserve"> In the absence of a full political settlement between Belgrade and </w:t>
      </w:r>
      <w:proofErr w:type="spellStart"/>
      <w:r w:rsidR="00F20E64" w:rsidRPr="00F20E64">
        <w:t>Prishtinë</w:t>
      </w:r>
      <w:proofErr w:type="spellEnd"/>
      <w:r w:rsidR="00F20E64" w:rsidRPr="00F20E64">
        <w:t>/</w:t>
      </w:r>
      <w:proofErr w:type="spellStart"/>
      <w:r w:rsidR="00F20E64" w:rsidRPr="00F20E64">
        <w:t>Priština</w:t>
      </w:r>
      <w:proofErr w:type="spellEnd"/>
      <w:r>
        <w:t>, d</w:t>
      </w:r>
      <w:r w:rsidRPr="00AC78AE">
        <w:t>ivisive conflict narratives continue to dominate political</w:t>
      </w:r>
      <w:r>
        <w:t>, media</w:t>
      </w:r>
      <w:r w:rsidRPr="00AC78AE">
        <w:t xml:space="preserve"> and social discourse</w:t>
      </w:r>
      <w:r>
        <w:t xml:space="preserve">, often compounded </w:t>
      </w:r>
      <w:r w:rsidRPr="00AC78AE">
        <w:t>by the words and actions of political leaders who</w:t>
      </w:r>
      <w:r>
        <w:t>,</w:t>
      </w:r>
      <w:r w:rsidRPr="00AC78AE">
        <w:t xml:space="preserve"> </w:t>
      </w:r>
      <w:r>
        <w:t xml:space="preserve">in many cases, </w:t>
      </w:r>
      <w:r w:rsidRPr="00AC78AE">
        <w:t xml:space="preserve">derive their political </w:t>
      </w:r>
      <w:r>
        <w:t>standing</w:t>
      </w:r>
      <w:r w:rsidRPr="00AC78AE">
        <w:t xml:space="preserve"> from the conflict</w:t>
      </w:r>
      <w:r>
        <w:t>. E</w:t>
      </w:r>
      <w:r w:rsidRPr="00AC78AE">
        <w:t>xternal factors, including the foreign policy positions of regional and international powers</w:t>
      </w:r>
      <w:r>
        <w:t>, also</w:t>
      </w:r>
      <w:r w:rsidRPr="00AC78AE">
        <w:t xml:space="preserve"> exert strong influence on Kosovo domestic politics, including inter-community relations.</w:t>
      </w:r>
      <w:r w:rsidR="00B01EC9">
        <w:t xml:space="preserve"> </w:t>
      </w:r>
      <w:r w:rsidR="00B01EC9" w:rsidRPr="00AC78AE">
        <w:t>The post-conflict generation in Kosovo, fueled by conflict narratives that are typically presented as “absolute truth”, and with severely limited interaction across the original conflict divide that might provide empirical observation to challenge the dominant narratives, is vulnerable to inherited prejudice. This persistent prejudice is a pervasive inhibitor to peacebuilding.</w:t>
      </w:r>
    </w:p>
    <w:p w14:paraId="12C0DC75" w14:textId="77777777" w:rsidR="00196840" w:rsidRDefault="00196840" w:rsidP="00F854C6"/>
    <w:p w14:paraId="0BD62476" w14:textId="2E35F8CB" w:rsidR="00196840" w:rsidRDefault="00196840" w:rsidP="00B01EC9">
      <w:pPr>
        <w:jc w:val="both"/>
      </w:pPr>
      <w:r>
        <w:t>T</w:t>
      </w:r>
      <w:r w:rsidRPr="00AC78AE">
        <w:t xml:space="preserve">he legacy of </w:t>
      </w:r>
      <w:r>
        <w:t xml:space="preserve">all </w:t>
      </w:r>
      <w:r w:rsidRPr="00AC78AE">
        <w:t xml:space="preserve">these factors </w:t>
      </w:r>
      <w:r>
        <w:t xml:space="preserve">is a </w:t>
      </w:r>
      <w:r w:rsidRPr="00AC78AE">
        <w:t xml:space="preserve">persistent distrust between communities, </w:t>
      </w:r>
      <w:r>
        <w:t xml:space="preserve">as well as </w:t>
      </w:r>
      <w:r w:rsidRPr="00AC78AE">
        <w:t>distrust between the population and institutions, an</w:t>
      </w:r>
      <w:r>
        <w:t>d</w:t>
      </w:r>
      <w:r w:rsidRPr="00AC78AE">
        <w:t xml:space="preserve"> </w:t>
      </w:r>
      <w:r>
        <w:t>widespread suspicion</w:t>
      </w:r>
      <w:r w:rsidRPr="00AC78AE">
        <w:t xml:space="preserve"> </w:t>
      </w:r>
      <w:r>
        <w:t>about</w:t>
      </w:r>
      <w:r w:rsidRPr="00AC78AE">
        <w:t xml:space="preserve"> </w:t>
      </w:r>
      <w:r>
        <w:t xml:space="preserve">the motives behind </w:t>
      </w:r>
      <w:r w:rsidRPr="00AC78AE">
        <w:t xml:space="preserve">international policy and </w:t>
      </w:r>
      <w:r>
        <w:t>the international presences on the ground.</w:t>
      </w:r>
      <w:r w:rsidRPr="00AC78AE">
        <w:t xml:space="preserve"> These </w:t>
      </w:r>
      <w:r>
        <w:t>s</w:t>
      </w:r>
      <w:r w:rsidRPr="00AC78AE">
        <w:t>tructural drivers of conflict are compounded by</w:t>
      </w:r>
      <w:r>
        <w:t xml:space="preserve"> </w:t>
      </w:r>
      <w:r w:rsidR="00F04814">
        <w:t>proximal drivers</w:t>
      </w:r>
      <w:r w:rsidRPr="00AC78AE">
        <w:t>, including deficiencies in public service</w:t>
      </w:r>
      <w:r w:rsidR="00F04814">
        <w:t xml:space="preserve"> delivery</w:t>
      </w:r>
      <w:r>
        <w:t xml:space="preserve"> </w:t>
      </w:r>
      <w:r w:rsidRPr="00AC78AE">
        <w:t xml:space="preserve">and </w:t>
      </w:r>
      <w:r w:rsidR="00393508">
        <w:t xml:space="preserve">socioeconomic challenges such as </w:t>
      </w:r>
      <w:r w:rsidRPr="00AC78AE">
        <w:t xml:space="preserve">a </w:t>
      </w:r>
      <w:r>
        <w:t xml:space="preserve">very </w:t>
      </w:r>
      <w:r w:rsidRPr="00AC78AE">
        <w:t>high rate of unemployment</w:t>
      </w:r>
      <w:r>
        <w:t xml:space="preserve">, </w:t>
      </w:r>
      <w:r w:rsidRPr="00B8586C">
        <w:t xml:space="preserve">which is </w:t>
      </w:r>
      <w:r>
        <w:t>continually reported</w:t>
      </w:r>
      <w:r w:rsidRPr="00B8586C">
        <w:t xml:space="preserve"> as the biggest issue impacting social wellbeing of the people of Kosovo</w:t>
      </w:r>
      <w:r w:rsidR="002F4D0A">
        <w:rPr>
          <w:rStyle w:val="FootnoteReference"/>
        </w:rPr>
        <w:footnoteReference w:id="9"/>
      </w:r>
      <w:r>
        <w:t xml:space="preserve">, and which </w:t>
      </w:r>
      <w:r w:rsidRPr="2D7025CE">
        <w:t>affect</w:t>
      </w:r>
      <w:r>
        <w:t xml:space="preserve">s </w:t>
      </w:r>
      <w:r w:rsidRPr="2D7025CE">
        <w:t xml:space="preserve">youth, and </w:t>
      </w:r>
      <w:proofErr w:type="gramStart"/>
      <w:r w:rsidRPr="2D7025CE">
        <w:t>in particular young</w:t>
      </w:r>
      <w:proofErr w:type="gramEnd"/>
      <w:r w:rsidRPr="2D7025CE">
        <w:t xml:space="preserve"> women, disproportionally (63.5% for young women, 48.4% for young men)</w:t>
      </w:r>
      <w:r w:rsidRPr="00335BCA">
        <w:rPr>
          <w:vertAlign w:val="superscript"/>
        </w:rPr>
        <w:footnoteReference w:id="10"/>
      </w:r>
      <w:r w:rsidRPr="2D7025CE">
        <w:t>.</w:t>
      </w:r>
      <w:r w:rsidRPr="0033776C">
        <w:t xml:space="preserve"> </w:t>
      </w:r>
      <w:r w:rsidRPr="00B8586C">
        <w:t>Nearly one in three young persons in Kosovo is considered “NEET” (not in education, employment or training) (31.4% for young women, 23.8% for young men)</w:t>
      </w:r>
      <w:r w:rsidRPr="00335BCA">
        <w:rPr>
          <w:vertAlign w:val="superscript"/>
        </w:rPr>
        <w:footnoteReference w:id="11"/>
      </w:r>
      <w:r w:rsidRPr="00B8586C">
        <w:t xml:space="preserve">. </w:t>
      </w:r>
      <w:r w:rsidR="00393508">
        <w:t>As such</w:t>
      </w:r>
      <w:r w:rsidR="00F04814">
        <w:t>, a</w:t>
      </w:r>
      <w:r w:rsidRPr="00B8586C">
        <w:t xml:space="preserve">lmost 60% </w:t>
      </w:r>
      <w:r w:rsidR="00F04814">
        <w:t xml:space="preserve">of youth </w:t>
      </w:r>
      <w:r w:rsidRPr="00B8586C">
        <w:t>reported that they consider leaving Kosovo</w:t>
      </w:r>
      <w:r w:rsidRPr="00335BCA">
        <w:rPr>
          <w:vertAlign w:val="superscript"/>
        </w:rPr>
        <w:footnoteReference w:id="12"/>
      </w:r>
      <w:r w:rsidRPr="00B8586C">
        <w:t>.</w:t>
      </w:r>
      <w:r>
        <w:t xml:space="preserve"> </w:t>
      </w:r>
    </w:p>
    <w:p w14:paraId="6DA00D3F" w14:textId="30292479" w:rsidR="00F04814" w:rsidRDefault="00F04814" w:rsidP="00B01EC9">
      <w:pPr>
        <w:jc w:val="both"/>
      </w:pPr>
    </w:p>
    <w:p w14:paraId="3DB4E8C1" w14:textId="6E041920" w:rsidR="00E92CF4" w:rsidRPr="00AC78AE" w:rsidRDefault="00E92CF4" w:rsidP="00E92CF4">
      <w:pPr>
        <w:jc w:val="both"/>
      </w:pPr>
      <w:r>
        <w:lastRenderedPageBreak/>
        <w:t>These challenges affect all communities, spanning the conflict divide, and thus present intrinsic opportunity to bring people together around shared concerns and interests.</w:t>
      </w:r>
      <w:r w:rsidR="00E67311">
        <w:t xml:space="preserve"> As detailed below, p</w:t>
      </w:r>
      <w:r>
        <w:t xml:space="preserve">revious programmatic assistance has revealed the potential for bridging the conflict divide. </w:t>
      </w:r>
      <w:r w:rsidRPr="00AC78AE">
        <w:t xml:space="preserve">Given that Kosovo has one of the youngest populations in Europe, harnessing the potential of young </w:t>
      </w:r>
      <w:r>
        <w:t>women and men,</w:t>
      </w:r>
      <w:r w:rsidRPr="00AC78AE">
        <w:t xml:space="preserve"> and providing them with opportunities for meaningful socioeconomic engagement </w:t>
      </w:r>
      <w:r>
        <w:t xml:space="preserve">and participation in decision-making </w:t>
      </w:r>
      <w:r w:rsidRPr="00AC78AE">
        <w:t xml:space="preserve">is </w:t>
      </w:r>
      <w:r>
        <w:t>vital</w:t>
      </w:r>
      <w:r w:rsidRPr="00AC78AE">
        <w:t xml:space="preserve">. </w:t>
      </w:r>
      <w:r w:rsidRPr="00B8586C">
        <w:t>Engagement of youth</w:t>
      </w:r>
      <w:r>
        <w:t>,</w:t>
      </w:r>
      <w:r w:rsidRPr="00B8586C">
        <w:t xml:space="preserve"> that spans the </w:t>
      </w:r>
      <w:r>
        <w:t>ethnic</w:t>
      </w:r>
      <w:r w:rsidRPr="00B8586C">
        <w:t xml:space="preserve"> divide</w:t>
      </w:r>
      <w:r>
        <w:t>,</w:t>
      </w:r>
      <w:r w:rsidRPr="00B8586C">
        <w:t xml:space="preserve"> has </w:t>
      </w:r>
      <w:r>
        <w:t>substantive</w:t>
      </w:r>
      <w:r w:rsidRPr="00B8586C">
        <w:t xml:space="preserve"> peacebuilding </w:t>
      </w:r>
      <w:r>
        <w:t>potential</w:t>
      </w:r>
      <w:r w:rsidRPr="00B8586C">
        <w:t xml:space="preserve">, as they are the ones </w:t>
      </w:r>
      <w:r w:rsidR="004C3C68">
        <w:t>to challenge</w:t>
      </w:r>
      <w:r w:rsidRPr="00B8586C">
        <w:t xml:space="preserve"> divisive narratives, </w:t>
      </w:r>
      <w:r>
        <w:t xml:space="preserve">as well as </w:t>
      </w:r>
      <w:r w:rsidR="004C3C68">
        <w:t>question</w:t>
      </w:r>
      <w:r>
        <w:t xml:space="preserve"> </w:t>
      </w:r>
      <w:r w:rsidRPr="00B8586C">
        <w:t>unjust systems and structures</w:t>
      </w:r>
      <w:r>
        <w:t xml:space="preserve">, </w:t>
      </w:r>
      <w:r w:rsidRPr="2D7025CE">
        <w:t xml:space="preserve">and </w:t>
      </w:r>
      <w:r w:rsidR="004C3C68">
        <w:t>envision</w:t>
      </w:r>
      <w:r w:rsidRPr="2D7025CE">
        <w:t xml:space="preserve"> more just alternatives. Marginalized youth, and </w:t>
      </w:r>
      <w:proofErr w:type="gramStart"/>
      <w:r w:rsidRPr="2D7025CE">
        <w:t>in particular women</w:t>
      </w:r>
      <w:proofErr w:type="gramEnd"/>
      <w:r w:rsidRPr="2D7025CE">
        <w:t xml:space="preserve"> amongst them, are vulnerable to personal, social and economic risks, including low self-esteem, substance abuse, engagement with criminal elements and increased vulnerability to radicalization and violent extremism. Inclusion of young women and men as peacemakers is pivotal in any sustainable peace initiative, </w:t>
      </w:r>
      <w:r>
        <w:t>with reference also to</w:t>
      </w:r>
      <w:r w:rsidRPr="00B8586C">
        <w:t xml:space="preserve"> UNSCR 1325 and UNSCR 2250</w:t>
      </w:r>
      <w:r w:rsidRPr="2D7025CE">
        <w:t>. Failing to include their voices and power into the related processes can only ever harm efforts for peace and security.</w:t>
      </w:r>
      <w:r>
        <w:t xml:space="preserve"> </w:t>
      </w:r>
    </w:p>
    <w:p w14:paraId="7D7661F8" w14:textId="00969AE7" w:rsidR="00196840" w:rsidRDefault="00196840" w:rsidP="00196840">
      <w:pPr>
        <w:jc w:val="both"/>
      </w:pPr>
    </w:p>
    <w:p w14:paraId="41996546" w14:textId="27063500" w:rsidR="00196840" w:rsidRPr="00625168" w:rsidRDefault="00196840" w:rsidP="00335BCA">
      <w:pPr>
        <w:jc w:val="both"/>
      </w:pPr>
      <w:r>
        <w:t xml:space="preserve">Recognizing these challenges and opportunities, the United Nations has developed a trust-building framework for Kosovo, which is based on the premise that </w:t>
      </w:r>
      <w:r w:rsidRPr="00625168">
        <w:t xml:space="preserve">positive change is unlikely to be driven </w:t>
      </w:r>
      <w:r>
        <w:t xml:space="preserve">foremost </w:t>
      </w:r>
      <w:r w:rsidRPr="00625168">
        <w:t xml:space="preserve">from the political top down, nor from the very bottom up. In-between, there are segments </w:t>
      </w:r>
      <w:r>
        <w:t>of society who we identify as</w:t>
      </w:r>
      <w:r w:rsidRPr="00625168">
        <w:t xml:space="preserve"> positive influencers of the future. These include youth (60% of the population are under 30</w:t>
      </w:r>
      <w:r w:rsidR="007D26B1">
        <w:t xml:space="preserve"> years of age</w:t>
      </w:r>
      <w:r w:rsidRPr="00625168">
        <w:t xml:space="preserve">); women, who have long been under-represented in leadership; and developing professionals, who may often be broader minded and better motivated than their forebears. Serving to empower such individuals to improve accountability, human rights and performance by justice and other public institutions, at all political and social levels, is a central objective of the United Nations trust-building </w:t>
      </w:r>
      <w:r>
        <w:t xml:space="preserve">framework for </w:t>
      </w:r>
      <w:r w:rsidRPr="00625168">
        <w:t>Kosovo. This includes ensuring public acknowledgement and recognition of their work, as well as amplifying their voices in society and politics.</w:t>
      </w:r>
    </w:p>
    <w:p w14:paraId="34CF03C6" w14:textId="77777777" w:rsidR="00196840" w:rsidRDefault="00196840" w:rsidP="00196840">
      <w:pPr>
        <w:jc w:val="both"/>
      </w:pPr>
    </w:p>
    <w:p w14:paraId="41F95611" w14:textId="74A27783" w:rsidR="009F74EB" w:rsidRDefault="00196840" w:rsidP="00FD14A2">
      <w:pPr>
        <w:jc w:val="both"/>
      </w:pPr>
      <w:r w:rsidRPr="00625168">
        <w:t xml:space="preserve">The United Nations trust-building framework was developed for and culminated in the United Nations Kosovo Trust-Building Forum </w:t>
      </w:r>
      <w:r w:rsidR="00ED726F">
        <w:t xml:space="preserve">(TBF) </w:t>
      </w:r>
      <w:r w:rsidRPr="00625168">
        <w:t>in May 2018 in Ljubljana</w:t>
      </w:r>
      <w:r>
        <w:t xml:space="preserve">, which was </w:t>
      </w:r>
      <w:r w:rsidR="00ED726F">
        <w:t>o</w:t>
      </w:r>
      <w:r w:rsidR="00ED726F" w:rsidRPr="00625168">
        <w:t>rganized</w:t>
      </w:r>
      <w:r w:rsidRPr="00625168">
        <w:t xml:space="preserve"> </w:t>
      </w:r>
      <w:r>
        <w:t>through a partnership between</w:t>
      </w:r>
      <w:r w:rsidRPr="00625168">
        <w:t xml:space="preserve"> UNMIK</w:t>
      </w:r>
      <w:r>
        <w:t>, the</w:t>
      </w:r>
      <w:r w:rsidRPr="00625168">
        <w:t xml:space="preserve"> </w:t>
      </w:r>
      <w:r>
        <w:t>U</w:t>
      </w:r>
      <w:r w:rsidRPr="00625168">
        <w:t>NKT, the European Union, EULEX, OSCE and Council of Europe</w:t>
      </w:r>
      <w:r w:rsidR="00ED726F">
        <w:t xml:space="preserve">, with participants from </w:t>
      </w:r>
      <w:r w:rsidRPr="00625168">
        <w:t>a broad cross-section of Kosovo society including civil society</w:t>
      </w:r>
      <w:r>
        <w:t xml:space="preserve"> groups</w:t>
      </w:r>
      <w:r w:rsidRPr="00625168">
        <w:t xml:space="preserve">, media, youth leaders and municipal leaders from both majority and non-majority communities. </w:t>
      </w:r>
      <w:r w:rsidR="00ED726F">
        <w:t>Since, UN</w:t>
      </w:r>
      <w:r w:rsidRPr="00625168">
        <w:t xml:space="preserve"> </w:t>
      </w:r>
      <w:r>
        <w:t>ha</w:t>
      </w:r>
      <w:r w:rsidR="00ED726F">
        <w:t>s</w:t>
      </w:r>
      <w:r>
        <w:t xml:space="preserve"> worked with all stakeholders</w:t>
      </w:r>
      <w:r w:rsidRPr="00625168">
        <w:t xml:space="preserve"> to de</w:t>
      </w:r>
      <w:r>
        <w:t>sign and implement</w:t>
      </w:r>
      <w:r w:rsidRPr="00625168">
        <w:t xml:space="preserve"> a</w:t>
      </w:r>
      <w:r>
        <w:t xml:space="preserve"> wide-ranging action</w:t>
      </w:r>
      <w:r w:rsidRPr="00625168">
        <w:t xml:space="preserve"> plan</w:t>
      </w:r>
      <w:r w:rsidR="00ED726F">
        <w:t>,</w:t>
      </w:r>
      <w:r w:rsidR="005751C6">
        <w:t xml:space="preserve"> </w:t>
      </w:r>
      <w:r>
        <w:t>encompass</w:t>
      </w:r>
      <w:r w:rsidR="00ED726F">
        <w:t>ing</w:t>
      </w:r>
      <w:r>
        <w:t xml:space="preserve"> existing work across many fields (for example, the</w:t>
      </w:r>
      <w:r w:rsidRPr="00625168">
        <w:t xml:space="preserve"> youth-related recommendations of the TBF were informed by UNMIK’s </w:t>
      </w:r>
      <w:r>
        <w:t>preceding</w:t>
      </w:r>
      <w:r w:rsidRPr="00625168">
        <w:t xml:space="preserve"> two years of work to promote the Youth, Peace and Security agenda</w:t>
      </w:r>
      <w:r>
        <w:t>)</w:t>
      </w:r>
      <w:r w:rsidR="00ED726F">
        <w:rPr>
          <w:rStyle w:val="FootnoteReference"/>
        </w:rPr>
        <w:footnoteReference w:id="13"/>
      </w:r>
      <w:r w:rsidRPr="00625168">
        <w:t xml:space="preserve">. </w:t>
      </w:r>
      <w:r w:rsidR="0070729D" w:rsidRPr="0070729D">
        <w:t xml:space="preserve">In support of the TBF recommendations already, UNMIK and UNKT have prioritized support to multi-ethnic youth platforms such as the UN Youth Assembly in Kosovo and the "Stories from the Other Side" project. Trust-Building seminars; raising youth voices in government decision-making; increasing youth mobility; promoting informal education and raising awareness of the benefits of diversity among the young generation, all are initiatives which are already underway to combat divisive ethnic stereotypes. The UN is fostering local ownership of these processes, whose potential is practically unlimited, but which needs to be nurtured and supported.  </w:t>
      </w:r>
    </w:p>
    <w:p w14:paraId="04D09880" w14:textId="288FB0F4" w:rsidR="00196840" w:rsidRDefault="00196840" w:rsidP="00FD14A2">
      <w:pPr>
        <w:jc w:val="both"/>
      </w:pPr>
    </w:p>
    <w:p w14:paraId="7B6082FD" w14:textId="4FAC5872" w:rsidR="009F74EB" w:rsidRDefault="00FC48F9" w:rsidP="00335BCA">
      <w:pPr>
        <w:jc w:val="both"/>
      </w:pPr>
      <w:r>
        <w:t>Additionally, t</w:t>
      </w:r>
      <w:r w:rsidRPr="00A825B4">
        <w:t>he first UN Youth Assembly in Kosovo (now an annual platform) was organized by UNMIK in close cooperation with UNDP and UNICEF in June 2017</w:t>
      </w:r>
      <w:r>
        <w:t>,</w:t>
      </w:r>
      <w:r w:rsidRPr="00A825B4">
        <w:t xml:space="preserve"> collecti</w:t>
      </w:r>
      <w:r>
        <w:t>ng</w:t>
      </w:r>
      <w:r w:rsidRPr="00A825B4">
        <w:t xml:space="preserve"> recommendations of 800 young people from different communities on localization of UNSCR 2250. The </w:t>
      </w:r>
      <w:r w:rsidRPr="00A825B4">
        <w:lastRenderedPageBreak/>
        <w:t xml:space="preserve">recommendations shaped the Kosovo Roadmap on Youth, Peace and Security, which was endorsed by </w:t>
      </w:r>
      <w:r>
        <w:t>the UN system</w:t>
      </w:r>
      <w:r w:rsidRPr="00A825B4">
        <w:t>, OSCE</w:t>
      </w:r>
      <w:r>
        <w:t>,</w:t>
      </w:r>
      <w:r w:rsidRPr="00A825B4">
        <w:t xml:space="preserve"> and Kosovo Ministry of Culture, Youth and Sport as part of the Kosovo Youth Strategy 2018-2022</w:t>
      </w:r>
      <w:r w:rsidRPr="00A825B4">
        <w:rPr>
          <w:rStyle w:val="FootnoteReference"/>
        </w:rPr>
        <w:footnoteReference w:id="14"/>
      </w:r>
      <w:r w:rsidRPr="00A825B4">
        <w:t>. The recommendations called upon the UN, Kosovo institutions and all relevant stakeholders to take affirmative measures supporting inter-ethnic dialogue among youth, opportunities for a better school to work transition, youth participation in local decision-making processes and broader involvement of youth as partners in building resilient communities in Kosovo.</w:t>
      </w:r>
    </w:p>
    <w:p w14:paraId="21C9E947" w14:textId="5A0716CB" w:rsidR="00E67311" w:rsidRDefault="00E67311" w:rsidP="00335BCA">
      <w:pPr>
        <w:jc w:val="both"/>
      </w:pPr>
    </w:p>
    <w:p w14:paraId="45CBF8BA" w14:textId="77777777" w:rsidR="00E67311" w:rsidRPr="00AC78AE" w:rsidRDefault="00E67311" w:rsidP="00E67311">
      <w:pPr>
        <w:jc w:val="both"/>
      </w:pPr>
      <w:r>
        <w:t xml:space="preserve">Similarly, UNDP organized a first round of stakeholder workshops in </w:t>
      </w:r>
      <w:r w:rsidRPr="0095575A">
        <w:t xml:space="preserve">North </w:t>
      </w:r>
      <w:proofErr w:type="spellStart"/>
      <w:r w:rsidRPr="0095575A">
        <w:t>Mitrovicë</w:t>
      </w:r>
      <w:proofErr w:type="spellEnd"/>
      <w:r w:rsidRPr="0095575A">
        <w:t>/Mitrovica</w:t>
      </w:r>
      <w:r>
        <w:t xml:space="preserve">, </w:t>
      </w:r>
      <w:proofErr w:type="spellStart"/>
      <w:r>
        <w:t>Gjilan</w:t>
      </w:r>
      <w:proofErr w:type="spellEnd"/>
      <w:r>
        <w:t>/</w:t>
      </w:r>
      <w:proofErr w:type="spellStart"/>
      <w:r w:rsidRPr="007A6909">
        <w:t>Gnjilane</w:t>
      </w:r>
      <w:proofErr w:type="spellEnd"/>
      <w:r>
        <w:t xml:space="preserve">, and </w:t>
      </w:r>
      <w:proofErr w:type="spellStart"/>
      <w:r w:rsidRPr="00A40ED3">
        <w:t>Prishtinë</w:t>
      </w:r>
      <w:proofErr w:type="spellEnd"/>
      <w:r w:rsidRPr="00A40ED3">
        <w:t>/</w:t>
      </w:r>
      <w:proofErr w:type="spellStart"/>
      <w:r w:rsidRPr="00A40ED3">
        <w:t>Priština</w:t>
      </w:r>
      <w:proofErr w:type="spellEnd"/>
      <w:r>
        <w:t xml:space="preserve"> during October 2018, which identified the need to further invest in strategic peacebuilding interventions that can meaningfully connect individuals from across the divide. The workshops highlighted common challenges of alienation from the political process; frustration with public service delivery and lack of economic opportunity; and, for women, widespread exclusion in many walks of life. Finding ways to connect people working together to address and advocate around these is not only at the center of the </w:t>
      </w:r>
      <w:r w:rsidRPr="00AA210A">
        <w:t>U</w:t>
      </w:r>
      <w:r>
        <w:t xml:space="preserve">nited </w:t>
      </w:r>
      <w:r w:rsidRPr="00AA210A">
        <w:t>N</w:t>
      </w:r>
      <w:r>
        <w:t xml:space="preserve">ations </w:t>
      </w:r>
      <w:r w:rsidRPr="00AA210A">
        <w:t>Kosovo Trust-Building</w:t>
      </w:r>
      <w:r>
        <w:t xml:space="preserve"> framework and UN planning on the ground, but matches the planned activities put forward to PBF herein. </w:t>
      </w:r>
    </w:p>
    <w:p w14:paraId="1F1B57E4" w14:textId="58A89BBE" w:rsidR="00196840" w:rsidRPr="00625168" w:rsidRDefault="00196840" w:rsidP="00196840"/>
    <w:p w14:paraId="77079A7E" w14:textId="19639D27" w:rsidR="00196840" w:rsidRDefault="00196840" w:rsidP="00196840">
      <w:pPr>
        <w:jc w:val="both"/>
      </w:pPr>
      <w:r w:rsidRPr="00B8586C">
        <w:t xml:space="preserve">The need for further investment was </w:t>
      </w:r>
      <w:r>
        <w:t>affirmed</w:t>
      </w:r>
      <w:r w:rsidRPr="00B8586C">
        <w:t xml:space="preserve"> by the most recent Public Pulse survey on Youth</w:t>
      </w:r>
      <w:r w:rsidR="00F854C6">
        <w:rPr>
          <w:rStyle w:val="FootnoteReference"/>
        </w:rPr>
        <w:footnoteReference w:id="15"/>
      </w:r>
      <w:r w:rsidR="00F854C6">
        <w:t xml:space="preserve">, which </w:t>
      </w:r>
      <w:r w:rsidRPr="00B8586C">
        <w:t>gathered opinions about ways to improve relations between Kosovo Serb and Kosovo Albanian youth. The respondents from among the Kosovo youth identified having both Kosovo Albanians and Kosovo Serbs participate in joint activities, and creating more tolerance and understanding for each other, among the primary channel</w:t>
      </w:r>
      <w:r w:rsidR="00177CE1">
        <w:t>s</w:t>
      </w:r>
      <w:r w:rsidRPr="00B8586C">
        <w:rPr>
          <w:rStyle w:val="FootnoteReference"/>
        </w:rPr>
        <w:footnoteReference w:id="16"/>
      </w:r>
      <w:r w:rsidRPr="00B8586C">
        <w:t xml:space="preserve">. </w:t>
      </w:r>
      <w:r w:rsidR="00545DD9" w:rsidRPr="00AC78AE">
        <w:t xml:space="preserve">With specific focus on the disillusioned post-conflict generation in Kosovo, </w:t>
      </w:r>
      <w:r w:rsidR="00545DD9" w:rsidRPr="2D7025CE">
        <w:t>growing up with inherited prejudice and violent memories of the conflict</w:t>
      </w:r>
      <w:r w:rsidR="00545DD9">
        <w:t>,</w:t>
      </w:r>
      <w:r w:rsidR="00545DD9" w:rsidRPr="002A1BD2">
        <w:t xml:space="preserve"> </w:t>
      </w:r>
      <w:r w:rsidR="00545DD9" w:rsidRPr="00AC78AE">
        <w:t>this proposal will help to establish and consolidate the “habit” of cooperation between otherwise separated identity groups, to work together on issues of shared interest and concern,</w:t>
      </w:r>
      <w:r w:rsidR="00545DD9">
        <w:t xml:space="preserve"> and</w:t>
      </w:r>
      <w:r w:rsidR="00545DD9" w:rsidRPr="00AC78AE">
        <w:t xml:space="preserve"> to develop joint solutions.</w:t>
      </w:r>
      <w:r w:rsidR="00545DD9">
        <w:t xml:space="preserve"> </w:t>
      </w:r>
      <w:r w:rsidRPr="00B8586C">
        <w:t xml:space="preserve">Young people, transcending divisions of ethnicity, gender, status </w:t>
      </w:r>
      <w:r>
        <w:t xml:space="preserve">religion </w:t>
      </w:r>
      <w:r w:rsidRPr="00B8586C">
        <w:t>and region, share challenges, as well as enthusiasm and potential to act as change</w:t>
      </w:r>
      <w:r>
        <w:t xml:space="preserve"> </w:t>
      </w:r>
      <w:r w:rsidRPr="00B8586C">
        <w:t>makers.</w:t>
      </w:r>
      <w:r w:rsidRPr="2D7025CE">
        <w:t xml:space="preserve"> </w:t>
      </w:r>
    </w:p>
    <w:p w14:paraId="79BEDDB7" w14:textId="77777777" w:rsidR="00196840" w:rsidRDefault="00196840" w:rsidP="00196840">
      <w:pPr>
        <w:jc w:val="both"/>
      </w:pPr>
    </w:p>
    <w:p w14:paraId="2A4C9EC2" w14:textId="77777777" w:rsidR="00196840" w:rsidRPr="00AC78AE" w:rsidRDefault="00196840" w:rsidP="00196840">
      <w:pPr>
        <w:jc w:val="both"/>
      </w:pPr>
      <w:r w:rsidRPr="2D7025CE">
        <w:t>Simultaneously, and pursuant to UN Secretary General Report on Women, Peace and Security S/2018/900, the proposal recognizes that gender relations underpin all macro-level phenomena within society</w:t>
      </w:r>
      <w:r>
        <w:t xml:space="preserve">, making </w:t>
      </w:r>
      <w:r w:rsidRPr="2D7025CE">
        <w:t xml:space="preserve">the promotion of gender equality within peacebuilding </w:t>
      </w:r>
      <w:r>
        <w:t>a</w:t>
      </w:r>
      <w:r w:rsidRPr="2D7025CE">
        <w:t xml:space="preserve"> crucial </w:t>
      </w:r>
      <w:r>
        <w:t xml:space="preserve">element </w:t>
      </w:r>
      <w:r w:rsidRPr="2D7025CE">
        <w:t>to</w:t>
      </w:r>
      <w:r>
        <w:t>ward</w:t>
      </w:r>
      <w:r w:rsidRPr="2D7025CE">
        <w:t xml:space="preserve"> </w:t>
      </w:r>
      <w:r>
        <w:t>making society more prosperous and resilient</w:t>
      </w:r>
      <w:r w:rsidRPr="2D7025CE">
        <w:t>. Through stronger competencies and skills and practical cooperation based on shared interests and common values, prejudice</w:t>
      </w:r>
      <w:r>
        <w:t>s</w:t>
      </w:r>
      <w:r w:rsidRPr="2D7025CE">
        <w:t xml:space="preserve"> will be challenged</w:t>
      </w:r>
      <w:r>
        <w:t xml:space="preserve"> and reduced</w:t>
      </w:r>
      <w:r w:rsidRPr="2D7025CE">
        <w:t xml:space="preserve">, </w:t>
      </w:r>
      <w:r>
        <w:t>with energy instead directed toward</w:t>
      </w:r>
      <w:r w:rsidRPr="2D7025CE">
        <w:t xml:space="preserve"> innovation</w:t>
      </w:r>
      <w:r>
        <w:t xml:space="preserve"> and cooperation</w:t>
      </w:r>
      <w:r w:rsidRPr="2D7025CE">
        <w:t xml:space="preserve">. </w:t>
      </w:r>
    </w:p>
    <w:p w14:paraId="587333E5" w14:textId="77777777" w:rsidR="00196840" w:rsidRDefault="00196840" w:rsidP="00196840"/>
    <w:p w14:paraId="569AB39A" w14:textId="51E20A3D" w:rsidR="00196840" w:rsidRPr="00AC78AE" w:rsidRDefault="00196840" w:rsidP="00196840">
      <w:pPr>
        <w:jc w:val="both"/>
      </w:pPr>
      <w:r w:rsidRPr="00F30A79">
        <w:t xml:space="preserve">Rising dissatisfaction on both sides of the conflict divide results </w:t>
      </w:r>
      <w:r>
        <w:t xml:space="preserve">also </w:t>
      </w:r>
      <w:r w:rsidRPr="00F30A79">
        <w:t>from the</w:t>
      </w:r>
      <w:r>
        <w:t xml:space="preserve"> only-</w:t>
      </w:r>
      <w:r w:rsidRPr="00F30A79">
        <w:t xml:space="preserve">partial </w:t>
      </w:r>
      <w:r>
        <w:t>success in completing a peace process</w:t>
      </w:r>
      <w:r w:rsidRPr="00F30A79">
        <w:t>. Since Kosovo’s 2008 declaration of independence,</w:t>
      </w:r>
      <w:r>
        <w:t xml:space="preserve"> continuing conflict over recognition of Kosovo’s status has been used and abused by politicians of both sides</w:t>
      </w:r>
      <w:r w:rsidRPr="00F30A79">
        <w:t xml:space="preserve">. </w:t>
      </w:r>
      <w:r>
        <w:t xml:space="preserve">Under EU facilitation of the dialogue process, important steps have been made, albeit incomplete.  </w:t>
      </w:r>
      <w:r w:rsidRPr="00F30A79">
        <w:t xml:space="preserve">In 2013, the governments signed the “First Agreement of Principles Governing the Normalization of Relations” which focused on </w:t>
      </w:r>
      <w:r w:rsidR="00F854C6">
        <w:t>a series of institutional arrangements</w:t>
      </w:r>
      <w:r w:rsidRPr="00F30A79">
        <w:t xml:space="preserve">. </w:t>
      </w:r>
      <w:r>
        <w:t xml:space="preserve">Perhaps most importantly, it affirmed the destination of Serbia and of Kosovo in the European Union. </w:t>
      </w:r>
      <w:r w:rsidRPr="00F30A79">
        <w:t xml:space="preserve">Implementation of the </w:t>
      </w:r>
      <w:r>
        <w:lastRenderedPageBreak/>
        <w:t>agreement</w:t>
      </w:r>
      <w:r w:rsidRPr="00F30A79">
        <w:t xml:space="preserve"> has been </w:t>
      </w:r>
      <w:r>
        <w:t>inconsistent</w:t>
      </w:r>
      <w:r w:rsidRPr="00F30A79">
        <w:t xml:space="preserve">, </w:t>
      </w:r>
      <w:r>
        <w:t>but continuation of the EU-facilitated process is a commitment from both sides</w:t>
      </w:r>
      <w:r w:rsidRPr="00F30A79">
        <w:t>.</w:t>
      </w:r>
      <w:r w:rsidRPr="00D34E91">
        <w:t xml:space="preserve"> </w:t>
      </w:r>
      <w:r>
        <w:t>Ultimately, both a political process and a society-wide dialogue are required to ensure progress.</w:t>
      </w:r>
    </w:p>
    <w:p w14:paraId="07E90BDE" w14:textId="77777777" w:rsidR="00196840" w:rsidRPr="00AC78AE" w:rsidRDefault="00196840" w:rsidP="00196840">
      <w:pPr>
        <w:jc w:val="both"/>
      </w:pPr>
    </w:p>
    <w:p w14:paraId="5EE498E2" w14:textId="5EEBB9FE" w:rsidR="004C1878" w:rsidRDefault="004C1878" w:rsidP="004C1878">
      <w:pPr>
        <w:jc w:val="both"/>
      </w:pPr>
      <w:r>
        <w:t xml:space="preserve">A conflict-related development analysis for Kosovo was undertaken in 2012 but has not been updated since. While the identified structural drivers of conflict remain largely valid and applicable, political developments since 2012 necessitate a review of proximal drivers and potential triggers. To this end, UNDP recently initiated a conflict analysis refresh in partnership with the </w:t>
      </w:r>
      <w:proofErr w:type="spellStart"/>
      <w:r>
        <w:t>Folke</w:t>
      </w:r>
      <w:proofErr w:type="spellEnd"/>
      <w:r>
        <w:t xml:space="preserve"> Bernadotte Academy (FBA</w:t>
      </w:r>
      <w:r w:rsidR="00E67311" w:rsidRPr="00E67311">
        <w:t>), which will be completed in close consultation with UNMIK</w:t>
      </w:r>
      <w:r>
        <w:t xml:space="preserve">. Responding to the situation of unresolved, entrenched, yet evolving conflict legacy as analyzed above, this exercise has been framed as a social cohesion analysis and is expected to provide an updated evidence basis for refined targeting of activities by participating Agencies following its dissemination, within the overall framework of trust-building in Kosovo. </w:t>
      </w:r>
      <w:r w:rsidR="00E67311">
        <w:t xml:space="preserve">The </w:t>
      </w:r>
      <w:r w:rsidR="00E67311" w:rsidRPr="00335BCA">
        <w:rPr>
          <w:i/>
        </w:rPr>
        <w:t>Social Cohesion in Kosovo</w:t>
      </w:r>
      <w:r w:rsidR="00E67311">
        <w:t xml:space="preserve"> report is currently being drafted and will be shared across workshop participants as well as within the UN Kosovo Team (UNKT) and among international partners in a series of validation events planned for early-2019. The complete findings and final report will further provide important baseline data and direction for this project.</w:t>
      </w:r>
    </w:p>
    <w:p w14:paraId="02C9F74A" w14:textId="77777777" w:rsidR="004C1878" w:rsidRDefault="004C1878" w:rsidP="004C1878">
      <w:pPr>
        <w:jc w:val="both"/>
      </w:pPr>
    </w:p>
    <w:p w14:paraId="4E085AEF" w14:textId="77777777" w:rsidR="00ED726F" w:rsidRDefault="00ED726F" w:rsidP="00D570C5"/>
    <w:p w14:paraId="2732C357" w14:textId="349E4546" w:rsidR="000B685C" w:rsidRPr="00AC78AE" w:rsidRDefault="00C00AC8" w:rsidP="00D570C5">
      <w:pPr>
        <w:jc w:val="both"/>
        <w:rPr>
          <w:i/>
          <w:iCs/>
          <w:highlight w:val="yellow"/>
        </w:rPr>
      </w:pPr>
      <w:r w:rsidRPr="00DA0479">
        <w:rPr>
          <w:b/>
          <w:bCs/>
        </w:rPr>
        <w:t>Institutional</w:t>
      </w:r>
      <w:r w:rsidR="024F8808" w:rsidRPr="00DA0479">
        <w:rPr>
          <w:b/>
          <w:bCs/>
        </w:rPr>
        <w:t xml:space="preserve"> </w:t>
      </w:r>
      <w:r w:rsidR="024F8808" w:rsidRPr="024F8808">
        <w:rPr>
          <w:b/>
          <w:bCs/>
        </w:rPr>
        <w:t>and UN strategic frameworks</w:t>
      </w:r>
    </w:p>
    <w:p w14:paraId="617CB366" w14:textId="77777777" w:rsidR="000B685C" w:rsidRPr="00AC78AE" w:rsidRDefault="000B685C" w:rsidP="00D570C5">
      <w:pPr>
        <w:jc w:val="both"/>
      </w:pPr>
    </w:p>
    <w:p w14:paraId="07FB453F" w14:textId="77777777" w:rsidR="000B685C" w:rsidRPr="00AC78AE" w:rsidRDefault="000B685C" w:rsidP="00D570C5">
      <w:pPr>
        <w:jc w:val="both"/>
      </w:pPr>
      <w:r w:rsidRPr="00AC78AE">
        <w:t xml:space="preserve">Kosovo legal framework enshrines the concept of an inclusive, multicultural society. Although not being a formal signatory to the global SDG framework, in January 2018 the Assembly of Kosovo endorsed the Resolution on the Sustainable Development Goals, committing to work jointly with the UN in Kosovo in achieving the Agenda 2030. The activities comprising this proposal are in direct service of these priorities. </w:t>
      </w:r>
    </w:p>
    <w:p w14:paraId="4D9C38A9" w14:textId="77777777" w:rsidR="000B685C" w:rsidRPr="00AC78AE" w:rsidRDefault="000B685C" w:rsidP="00D570C5">
      <w:pPr>
        <w:jc w:val="both"/>
      </w:pPr>
    </w:p>
    <w:p w14:paraId="4975C2AE" w14:textId="3CD6877A" w:rsidR="00A825B4" w:rsidRDefault="000B685C" w:rsidP="00D570C5">
      <w:pPr>
        <w:jc w:val="both"/>
      </w:pPr>
      <w:r w:rsidRPr="009B7A1F">
        <w:t>The international community has recognized that young people have an active and integral role to play in peacebuilding, as asserted in UN Security Council Resolution 2250 on Youth, Peace and Security (2015)</w:t>
      </w:r>
      <w:r w:rsidR="00B77A9D">
        <w:rPr>
          <w:rStyle w:val="FootnoteReference"/>
        </w:rPr>
        <w:footnoteReference w:id="17"/>
      </w:r>
      <w:r>
        <w:t xml:space="preserve">. </w:t>
      </w:r>
      <w:r w:rsidRPr="00082CA9">
        <w:t>The new UN Youth Strategy 2030</w:t>
      </w:r>
      <w:r w:rsidRPr="00082CA9">
        <w:rPr>
          <w:rStyle w:val="FootnoteReference"/>
        </w:rPr>
        <w:footnoteReference w:id="18"/>
      </w:r>
      <w:r w:rsidRPr="00082CA9">
        <w:t xml:space="preserve"> calls for amplifying youth voices for the promotion of a peaceful, just and sustainable world through engagement, participation and advocacy; to promote opportunities for young people to use their skills and networks to develop and foster counter-narratives to messages of violence, extremism and radicalization. </w:t>
      </w:r>
    </w:p>
    <w:p w14:paraId="1FAEF961" w14:textId="77777777" w:rsidR="00D753DD" w:rsidRDefault="00D753DD" w:rsidP="00D570C5">
      <w:pPr>
        <w:jc w:val="both"/>
        <w:rPr>
          <w:iCs/>
        </w:rPr>
      </w:pPr>
    </w:p>
    <w:p w14:paraId="7D367CC3" w14:textId="2C096596" w:rsidR="000B685C" w:rsidRDefault="00FC48F9" w:rsidP="00D570C5">
      <w:pPr>
        <w:jc w:val="both"/>
        <w:rPr>
          <w:iCs/>
        </w:rPr>
      </w:pPr>
      <w:r>
        <w:rPr>
          <w:iCs/>
        </w:rPr>
        <w:t>T</w:t>
      </w:r>
      <w:r w:rsidR="00A825B4">
        <w:rPr>
          <w:iCs/>
        </w:rPr>
        <w:t xml:space="preserve">he project </w:t>
      </w:r>
      <w:r w:rsidR="00B0268B">
        <w:rPr>
          <w:iCs/>
        </w:rPr>
        <w:t xml:space="preserve">will </w:t>
      </w:r>
      <w:r w:rsidR="00CF1B74">
        <w:rPr>
          <w:iCs/>
        </w:rPr>
        <w:t xml:space="preserve">build upon and </w:t>
      </w:r>
      <w:r w:rsidR="00B0268B">
        <w:rPr>
          <w:iCs/>
        </w:rPr>
        <w:t xml:space="preserve">reinforce </w:t>
      </w:r>
      <w:r w:rsidR="000B685C" w:rsidRPr="00082CA9">
        <w:rPr>
          <w:iCs/>
        </w:rPr>
        <w:t>the outcomes of the UN Kosovo Trust-building Forum</w:t>
      </w:r>
      <w:r w:rsidR="00CF1B74">
        <w:rPr>
          <w:iCs/>
        </w:rPr>
        <w:t xml:space="preserve"> (TBF)</w:t>
      </w:r>
      <w:r w:rsidR="000B685C" w:rsidRPr="00082CA9">
        <w:rPr>
          <w:rStyle w:val="FootnoteReference"/>
          <w:iCs/>
        </w:rPr>
        <w:footnoteReference w:id="19"/>
      </w:r>
      <w:r w:rsidR="003E6B3A">
        <w:rPr>
          <w:iCs/>
        </w:rPr>
        <w:t xml:space="preserve">. </w:t>
      </w:r>
      <w:proofErr w:type="gramStart"/>
      <w:r w:rsidR="003E6B3A">
        <w:rPr>
          <w:iCs/>
        </w:rPr>
        <w:t>A number of</w:t>
      </w:r>
      <w:proofErr w:type="gramEnd"/>
      <w:r w:rsidR="003E6B3A">
        <w:rPr>
          <w:iCs/>
        </w:rPr>
        <w:t xml:space="preserve"> the TBF recommendations </w:t>
      </w:r>
      <w:r w:rsidR="00E22997">
        <w:rPr>
          <w:iCs/>
        </w:rPr>
        <w:t xml:space="preserve">(particular with regard to good governance and access to services; economic empowerment and education) </w:t>
      </w:r>
      <w:r w:rsidR="003E6B3A">
        <w:rPr>
          <w:iCs/>
        </w:rPr>
        <w:t xml:space="preserve">will be directly supported through implementation of this project, </w:t>
      </w:r>
      <w:r w:rsidR="000B685C" w:rsidRPr="00082CA9">
        <w:rPr>
          <w:iCs/>
        </w:rPr>
        <w:t xml:space="preserve">through various, gender-sensitive mechanisms (volunteerism, skills development and education, entrepreneurship and employment) </w:t>
      </w:r>
      <w:r w:rsidR="003E6B3A">
        <w:rPr>
          <w:iCs/>
        </w:rPr>
        <w:t>which will be</w:t>
      </w:r>
      <w:r w:rsidR="003E6B3A" w:rsidRPr="00082CA9">
        <w:rPr>
          <w:iCs/>
        </w:rPr>
        <w:t xml:space="preserve"> </w:t>
      </w:r>
      <w:r w:rsidR="000B685C" w:rsidRPr="00082CA9">
        <w:rPr>
          <w:iCs/>
        </w:rPr>
        <w:t>promoted as avenues for building deeper trust, and ultimately a more peaceful and inclusive society.</w:t>
      </w:r>
      <w:r w:rsidR="00CF1B74">
        <w:rPr>
          <w:iCs/>
        </w:rPr>
        <w:t xml:space="preserve"> </w:t>
      </w:r>
      <w:r>
        <w:rPr>
          <w:iCs/>
        </w:rPr>
        <w:t xml:space="preserve">Additionally, </w:t>
      </w:r>
      <w:r>
        <w:t>s</w:t>
      </w:r>
      <w:r w:rsidRPr="00A825B4">
        <w:t>ince 2017, UNMIK has provided ongoing support and mentoring to the multi-ethnic group of young leaders of the (UN) Youth Task Force focused on advocacy for implementation of the Kosovo Roadmap on Youth, Peace and Security and implementation of a wide range of initiatives aimed at fostering deeper trust-building between youth from majority and non-majority communities.</w:t>
      </w:r>
      <w:r>
        <w:t xml:space="preserve"> The project will build upon and further bolster these youth-led efforts and results.</w:t>
      </w:r>
    </w:p>
    <w:p w14:paraId="1F8D257B" w14:textId="03957F40" w:rsidR="00B924F2" w:rsidRDefault="00B924F2" w:rsidP="00D570C5">
      <w:pPr>
        <w:jc w:val="both"/>
        <w:rPr>
          <w:iCs/>
        </w:rPr>
      </w:pPr>
    </w:p>
    <w:p w14:paraId="193F7B84" w14:textId="47C58C66" w:rsidR="00B924F2" w:rsidRPr="00082CA9" w:rsidRDefault="00BA368C" w:rsidP="00D570C5">
      <w:pPr>
        <w:jc w:val="both"/>
      </w:pPr>
      <w:r w:rsidRPr="0073057C">
        <w:rPr>
          <w:iCs/>
        </w:rPr>
        <w:t xml:space="preserve">The project is in line with the </w:t>
      </w:r>
      <w:r w:rsidR="0073057C" w:rsidRPr="0073057C">
        <w:rPr>
          <w:iCs/>
        </w:rPr>
        <w:t xml:space="preserve">2016-2020 UN Common Development Plan in Kosovo, Priority Area on Social Inclusion, as well as the </w:t>
      </w:r>
      <w:r w:rsidR="004B6360" w:rsidRPr="0073057C">
        <w:rPr>
          <w:iCs/>
        </w:rPr>
        <w:t>UN</w:t>
      </w:r>
      <w:r w:rsidR="00902DCE" w:rsidRPr="0073057C">
        <w:rPr>
          <w:iCs/>
        </w:rPr>
        <w:t xml:space="preserve"> </w:t>
      </w:r>
      <w:r w:rsidR="00B924F2" w:rsidRPr="0073057C">
        <w:rPr>
          <w:iCs/>
        </w:rPr>
        <w:t>I</w:t>
      </w:r>
      <w:r w:rsidR="00902DCE" w:rsidRPr="0073057C">
        <w:rPr>
          <w:iCs/>
        </w:rPr>
        <w:t>ntegrated Strategic Framework for Kosovo 2018-2020 (</w:t>
      </w:r>
      <w:r w:rsidR="00335BCA" w:rsidRPr="0073057C">
        <w:rPr>
          <w:iCs/>
        </w:rPr>
        <w:t>ISF)</w:t>
      </w:r>
      <w:r w:rsidR="00335BCA">
        <w:rPr>
          <w:iCs/>
        </w:rPr>
        <w:t xml:space="preserve"> </w:t>
      </w:r>
      <w:r w:rsidR="00335BCA" w:rsidRPr="0073057C">
        <w:rPr>
          <w:iCs/>
        </w:rPr>
        <w:t>responding</w:t>
      </w:r>
      <w:r w:rsidR="00902DCE" w:rsidRPr="0073057C">
        <w:rPr>
          <w:iCs/>
        </w:rPr>
        <w:t xml:space="preserve"> to the Intercommunity trust-building, Youth, and Gender Equality and Women’s Empowerment strategic areas of collaboration </w:t>
      </w:r>
      <w:r w:rsidR="00E22997">
        <w:rPr>
          <w:iCs/>
        </w:rPr>
        <w:t xml:space="preserve">between UNKT and UNMIK </w:t>
      </w:r>
      <w:r w:rsidR="00902DCE" w:rsidRPr="0073057C">
        <w:rPr>
          <w:iCs/>
        </w:rPr>
        <w:t>identified in the ISF.</w:t>
      </w:r>
    </w:p>
    <w:p w14:paraId="2E5D4F15" w14:textId="77777777" w:rsidR="000B685C" w:rsidRPr="00AC78AE" w:rsidRDefault="000B685C" w:rsidP="00D570C5">
      <w:pPr>
        <w:jc w:val="both"/>
      </w:pPr>
    </w:p>
    <w:p w14:paraId="4CAFB76A" w14:textId="61A92E5A" w:rsidR="000B685C" w:rsidRDefault="000B685C" w:rsidP="00D570C5">
      <w:pPr>
        <w:jc w:val="both"/>
        <w:rPr>
          <w:iCs/>
        </w:rPr>
      </w:pPr>
      <w:r w:rsidRPr="00082CA9">
        <w:rPr>
          <w:iCs/>
        </w:rPr>
        <w:t xml:space="preserve">Capacities to recognize the gender perspective in post-conflict situations is a further factor of importance in the design and implementation of activities that span the conflict divide. In Kosovo, this appreciation is of </w:t>
      </w:r>
      <w:proofErr w:type="gramStart"/>
      <w:r w:rsidRPr="00082CA9">
        <w:rPr>
          <w:iCs/>
        </w:rPr>
        <w:t>particular importance</w:t>
      </w:r>
      <w:proofErr w:type="gramEnd"/>
      <w:r w:rsidRPr="00082CA9">
        <w:rPr>
          <w:iCs/>
        </w:rPr>
        <w:t xml:space="preserve"> in dealing with conflict-related sexual violence, and the persistent stigma suffered by women and girls who have been victims</w:t>
      </w:r>
      <w:r w:rsidRPr="00445359">
        <w:rPr>
          <w:iCs/>
        </w:rPr>
        <w:t xml:space="preserve">. </w:t>
      </w:r>
      <w:r w:rsidR="00CB1113" w:rsidRPr="00445359">
        <w:rPr>
          <w:iCs/>
        </w:rPr>
        <w:t xml:space="preserve">Since 2005, UN Kosovo Team has promoted UNSCR 1325 and its implementation in Kosovo, including its National Action Plan. Nevertheless, significant challenges persist with regards to meaningful participation of women in peacebuilding and decision-making more broadly. </w:t>
      </w:r>
      <w:r w:rsidRPr="00445359">
        <w:rPr>
          <w:iCs/>
        </w:rPr>
        <w:t xml:space="preserve">It is of paramount importance that UN Kosovo Team continues support to the implementation of UNSCR 1325 and </w:t>
      </w:r>
      <w:proofErr w:type="gramStart"/>
      <w:r w:rsidRPr="00445359">
        <w:rPr>
          <w:iCs/>
        </w:rPr>
        <w:t>in particular to</w:t>
      </w:r>
      <w:proofErr w:type="gramEnd"/>
      <w:r w:rsidRPr="00445359">
        <w:rPr>
          <w:iCs/>
        </w:rPr>
        <w:t xml:space="preserve"> women’s participation in decision making processes regarding peace and security</w:t>
      </w:r>
      <w:r w:rsidRPr="00082CA9">
        <w:rPr>
          <w:iCs/>
        </w:rPr>
        <w:t xml:space="preserve"> policies. Interventions to put forward the Women, Peace and Security agenda (WPS) include inter-community dialogue, human security and economic empowerment. Support for strengthening women’s economic empowerment and employment will be taken in consideration </w:t>
      </w:r>
      <w:r>
        <w:rPr>
          <w:iCs/>
        </w:rPr>
        <w:t>in activity design and s</w:t>
      </w:r>
      <w:r w:rsidRPr="00082CA9">
        <w:rPr>
          <w:iCs/>
        </w:rPr>
        <w:t>election.</w:t>
      </w:r>
    </w:p>
    <w:p w14:paraId="326410E2" w14:textId="43E86DF1" w:rsidR="00CE0443" w:rsidRDefault="00CE0443" w:rsidP="00D570C5">
      <w:pPr>
        <w:jc w:val="both"/>
        <w:rPr>
          <w:iCs/>
        </w:rPr>
      </w:pPr>
    </w:p>
    <w:p w14:paraId="1026CC75" w14:textId="77777777" w:rsidR="00D570C5" w:rsidRPr="00082CA9" w:rsidRDefault="00D570C5" w:rsidP="00D570C5">
      <w:pPr>
        <w:jc w:val="both"/>
        <w:rPr>
          <w:iCs/>
        </w:rPr>
      </w:pPr>
    </w:p>
    <w:p w14:paraId="52ED99A9" w14:textId="77777777" w:rsidR="005C1649" w:rsidRDefault="005C1649" w:rsidP="00D570C5"/>
    <w:p w14:paraId="002CD532" w14:textId="7ACF099F" w:rsidR="005C1649" w:rsidRDefault="00AF4077" w:rsidP="00EF1B08">
      <w:pPr>
        <w:numPr>
          <w:ilvl w:val="0"/>
          <w:numId w:val="6"/>
        </w:numPr>
        <w:rPr>
          <w:b/>
        </w:rPr>
      </w:pPr>
      <w:r>
        <w:rPr>
          <w:b/>
        </w:rPr>
        <w:t>Project content, strategic justification and implementation strategy</w:t>
      </w:r>
      <w:r w:rsidR="0056650A">
        <w:rPr>
          <w:b/>
        </w:rPr>
        <w:t xml:space="preserve"> (</w:t>
      </w:r>
      <w:r w:rsidR="00F358DC">
        <w:rPr>
          <w:b/>
        </w:rPr>
        <w:t>4</w:t>
      </w:r>
      <w:r w:rsidR="0056650A">
        <w:rPr>
          <w:b/>
        </w:rPr>
        <w:t xml:space="preserve"> pages</w:t>
      </w:r>
      <w:r w:rsidR="00CD0F68">
        <w:rPr>
          <w:b/>
        </w:rPr>
        <w:t xml:space="preserve"> max</w:t>
      </w:r>
      <w:r w:rsidR="007C5B08">
        <w:rPr>
          <w:b/>
        </w:rPr>
        <w:t xml:space="preserve"> Plus Result</w:t>
      </w:r>
      <w:r w:rsidR="00DD6EEE">
        <w:rPr>
          <w:b/>
        </w:rPr>
        <w:t>s</w:t>
      </w:r>
      <w:r w:rsidR="007C5B08">
        <w:rPr>
          <w:b/>
        </w:rPr>
        <w:t xml:space="preserve"> Framework Annex</w:t>
      </w:r>
      <w:r w:rsidR="0056650A">
        <w:rPr>
          <w:b/>
        </w:rPr>
        <w:t>)</w:t>
      </w:r>
    </w:p>
    <w:p w14:paraId="52FB88C0" w14:textId="77777777" w:rsidR="009F0871" w:rsidRPr="00FD3EA8" w:rsidRDefault="009F0871" w:rsidP="00D570C5">
      <w:pPr>
        <w:ind w:left="1080"/>
        <w:rPr>
          <w:b/>
        </w:rPr>
      </w:pPr>
    </w:p>
    <w:p w14:paraId="16BA0053" w14:textId="183FB91B" w:rsidR="00AF4077" w:rsidRPr="00E810B0" w:rsidRDefault="00AF4077" w:rsidP="00E810B0">
      <w:pPr>
        <w:numPr>
          <w:ilvl w:val="0"/>
          <w:numId w:val="5"/>
        </w:numPr>
        <w:jc w:val="both"/>
        <w:rPr>
          <w:i/>
        </w:rPr>
      </w:pPr>
      <w:r w:rsidRPr="00E810B0">
        <w:rPr>
          <w:i/>
        </w:rPr>
        <w:t xml:space="preserve">A brief </w:t>
      </w:r>
      <w:r w:rsidRPr="00E810B0">
        <w:rPr>
          <w:b/>
          <w:bCs/>
          <w:i/>
        </w:rPr>
        <w:t>description of the project content</w:t>
      </w:r>
      <w:r w:rsidRPr="00E810B0">
        <w:rPr>
          <w:i/>
        </w:rPr>
        <w:t xml:space="preserve"> – </w:t>
      </w:r>
      <w:r w:rsidR="007C5B08" w:rsidRPr="00E810B0">
        <w:rPr>
          <w:i/>
        </w:rPr>
        <w:t xml:space="preserve">in a nutshell, </w:t>
      </w:r>
      <w:r w:rsidRPr="00E810B0">
        <w:rPr>
          <w:i/>
        </w:rPr>
        <w:t xml:space="preserve">what </w:t>
      </w:r>
      <w:r w:rsidR="00DD6EEE" w:rsidRPr="00E810B0">
        <w:rPr>
          <w:i/>
        </w:rPr>
        <w:t>result</w:t>
      </w:r>
      <w:r w:rsidR="00760D18" w:rsidRPr="00E810B0">
        <w:rPr>
          <w:i/>
        </w:rPr>
        <w:t>s</w:t>
      </w:r>
      <w:r w:rsidR="00DD6EEE" w:rsidRPr="00E810B0">
        <w:rPr>
          <w:i/>
        </w:rPr>
        <w:t xml:space="preserve"> is</w:t>
      </w:r>
      <w:r w:rsidRPr="00E810B0">
        <w:rPr>
          <w:i/>
        </w:rPr>
        <w:t xml:space="preserve"> </w:t>
      </w:r>
      <w:r w:rsidR="00760D18" w:rsidRPr="00E810B0">
        <w:rPr>
          <w:i/>
        </w:rPr>
        <w:t xml:space="preserve">the </w:t>
      </w:r>
      <w:r w:rsidRPr="00E810B0">
        <w:rPr>
          <w:i/>
        </w:rPr>
        <w:t xml:space="preserve">project trying to </w:t>
      </w:r>
      <w:r w:rsidR="00DD6EEE" w:rsidRPr="00E810B0">
        <w:rPr>
          <w:i/>
        </w:rPr>
        <w:t>achieve</w:t>
      </w:r>
      <w:r w:rsidR="00760D18" w:rsidRPr="00E810B0">
        <w:rPr>
          <w:i/>
        </w:rPr>
        <w:t xml:space="preserve">, </w:t>
      </w:r>
      <w:r w:rsidRPr="00E810B0">
        <w:rPr>
          <w:i/>
        </w:rPr>
        <w:t>and how does it aim to address the conflict analysis factors outline</w:t>
      </w:r>
      <w:r w:rsidR="00DD6EEE" w:rsidRPr="00E810B0">
        <w:rPr>
          <w:i/>
        </w:rPr>
        <w:t>d</w:t>
      </w:r>
      <w:r w:rsidRPr="00E810B0">
        <w:rPr>
          <w:i/>
        </w:rPr>
        <w:t xml:space="preserve"> in Section I</w:t>
      </w:r>
      <w:r w:rsidR="00D050B2" w:rsidRPr="00E810B0">
        <w:rPr>
          <w:i/>
        </w:rPr>
        <w:t xml:space="preserve"> (</w:t>
      </w:r>
      <w:r w:rsidR="00760D18" w:rsidRPr="00E810B0">
        <w:rPr>
          <w:i/>
        </w:rPr>
        <w:t>must</w:t>
      </w:r>
      <w:r w:rsidR="0018418D" w:rsidRPr="00E810B0">
        <w:rPr>
          <w:i/>
        </w:rPr>
        <w:t xml:space="preserve"> be</w:t>
      </w:r>
      <w:r w:rsidR="001A7841" w:rsidRPr="00E810B0">
        <w:rPr>
          <w:i/>
        </w:rPr>
        <w:t xml:space="preserve"> gender- and age- sensitive</w:t>
      </w:r>
      <w:r w:rsidR="00D050B2" w:rsidRPr="00E810B0">
        <w:rPr>
          <w:i/>
        </w:rPr>
        <w:t>)</w:t>
      </w:r>
      <w:r w:rsidRPr="00E810B0">
        <w:rPr>
          <w:i/>
        </w:rPr>
        <w:t>.</w:t>
      </w:r>
    </w:p>
    <w:p w14:paraId="78AB3874" w14:textId="77777777" w:rsidR="00AF4077" w:rsidRPr="00E810B0" w:rsidRDefault="00AF4077" w:rsidP="00E810B0">
      <w:pPr>
        <w:ind w:left="720"/>
        <w:jc w:val="both"/>
        <w:rPr>
          <w:i/>
        </w:rPr>
      </w:pPr>
    </w:p>
    <w:p w14:paraId="5BA1C535" w14:textId="6E7060BF" w:rsidR="00F926AA" w:rsidRPr="00E810B0" w:rsidRDefault="0033583B" w:rsidP="00E810B0">
      <w:pPr>
        <w:numPr>
          <w:ilvl w:val="0"/>
          <w:numId w:val="5"/>
        </w:numPr>
        <w:jc w:val="both"/>
        <w:rPr>
          <w:bCs/>
          <w:i/>
        </w:rPr>
      </w:pPr>
      <w:r w:rsidRPr="00E810B0">
        <w:rPr>
          <w:b/>
          <w:i/>
        </w:rPr>
        <w:t xml:space="preserve">Project </w:t>
      </w:r>
      <w:r w:rsidR="007C5B08" w:rsidRPr="00E810B0">
        <w:rPr>
          <w:b/>
          <w:i/>
        </w:rPr>
        <w:t>result framework</w:t>
      </w:r>
      <w:r w:rsidR="007C5B08" w:rsidRPr="00E810B0">
        <w:rPr>
          <w:bCs/>
          <w:i/>
        </w:rPr>
        <w:t xml:space="preserve">, outlining </w:t>
      </w:r>
      <w:r w:rsidR="00F8262A" w:rsidRPr="00E810B0">
        <w:rPr>
          <w:bCs/>
          <w:i/>
        </w:rPr>
        <w:t xml:space="preserve">all </w:t>
      </w:r>
      <w:r w:rsidR="007C5B08" w:rsidRPr="00E810B0">
        <w:rPr>
          <w:bCs/>
          <w:i/>
        </w:rPr>
        <w:t>project results, outputs, activities with indicators of progress</w:t>
      </w:r>
      <w:r w:rsidR="00F8262A" w:rsidRPr="00E810B0">
        <w:rPr>
          <w:bCs/>
          <w:i/>
        </w:rPr>
        <w:t xml:space="preserve">, baselines and targets </w:t>
      </w:r>
      <w:r w:rsidR="00F8262A" w:rsidRPr="00E810B0">
        <w:rPr>
          <w:i/>
        </w:rPr>
        <w:t>(must be gender- and age- sensitive)</w:t>
      </w:r>
      <w:r w:rsidR="007C5B08" w:rsidRPr="00E810B0">
        <w:rPr>
          <w:bCs/>
          <w:i/>
        </w:rPr>
        <w:t xml:space="preserve">. Use </w:t>
      </w:r>
      <w:r w:rsidR="007C5B08" w:rsidRPr="00E810B0">
        <w:rPr>
          <w:b/>
          <w:i/>
        </w:rPr>
        <w:t>A</w:t>
      </w:r>
      <w:r w:rsidR="00480024" w:rsidRPr="00E810B0">
        <w:rPr>
          <w:b/>
          <w:i/>
        </w:rPr>
        <w:t xml:space="preserve">nnex </w:t>
      </w:r>
      <w:r w:rsidR="009A1657" w:rsidRPr="00E810B0">
        <w:rPr>
          <w:b/>
          <w:i/>
        </w:rPr>
        <w:t>B</w:t>
      </w:r>
      <w:r w:rsidR="009A1657" w:rsidRPr="00E810B0">
        <w:rPr>
          <w:bCs/>
          <w:i/>
        </w:rPr>
        <w:t>; no need to</w:t>
      </w:r>
      <w:r w:rsidR="007C5B08" w:rsidRPr="00E810B0">
        <w:rPr>
          <w:bCs/>
          <w:i/>
        </w:rPr>
        <w:t xml:space="preserve"> provide additional narrative here.</w:t>
      </w:r>
    </w:p>
    <w:p w14:paraId="681760E3" w14:textId="77777777" w:rsidR="00640556" w:rsidRPr="00E810B0" w:rsidRDefault="00640556" w:rsidP="00E810B0">
      <w:pPr>
        <w:ind w:left="720"/>
        <w:jc w:val="both"/>
        <w:rPr>
          <w:i/>
        </w:rPr>
      </w:pPr>
    </w:p>
    <w:p w14:paraId="01FD7322" w14:textId="437825EA" w:rsidR="00570F35" w:rsidRPr="00E810B0" w:rsidRDefault="00760D18" w:rsidP="00E810B0">
      <w:pPr>
        <w:numPr>
          <w:ilvl w:val="0"/>
          <w:numId w:val="5"/>
        </w:numPr>
        <w:jc w:val="both"/>
        <w:rPr>
          <w:i/>
          <w:iCs/>
        </w:rPr>
      </w:pPr>
      <w:r w:rsidRPr="00E810B0">
        <w:rPr>
          <w:i/>
        </w:rPr>
        <w:t>P</w:t>
      </w:r>
      <w:r w:rsidR="00DD6EEE" w:rsidRPr="00E810B0">
        <w:rPr>
          <w:i/>
        </w:rPr>
        <w:t xml:space="preserve">rovide a </w:t>
      </w:r>
      <w:r w:rsidR="00DD6EEE" w:rsidRPr="00E810B0">
        <w:rPr>
          <w:b/>
          <w:bCs/>
          <w:i/>
        </w:rPr>
        <w:t>p</w:t>
      </w:r>
      <w:r w:rsidR="0033583B" w:rsidRPr="00E810B0">
        <w:rPr>
          <w:b/>
          <w:bCs/>
          <w:i/>
        </w:rPr>
        <w:t>roject</w:t>
      </w:r>
      <w:r w:rsidR="00DD6EEE" w:rsidRPr="00E810B0">
        <w:rPr>
          <w:b/>
          <w:bCs/>
          <w:i/>
        </w:rPr>
        <w:t>-level</w:t>
      </w:r>
      <w:r w:rsidR="0033583B" w:rsidRPr="00E810B0">
        <w:rPr>
          <w:i/>
        </w:rPr>
        <w:t xml:space="preserve"> </w:t>
      </w:r>
      <w:r w:rsidR="00F8262A" w:rsidRPr="00E810B0">
        <w:rPr>
          <w:i/>
        </w:rPr>
        <w:t>‘</w:t>
      </w:r>
      <w:r w:rsidR="0033583B" w:rsidRPr="00E810B0">
        <w:rPr>
          <w:b/>
          <w:i/>
        </w:rPr>
        <w:t>theory of change</w:t>
      </w:r>
      <w:r w:rsidR="00F8262A" w:rsidRPr="00E810B0">
        <w:rPr>
          <w:b/>
          <w:i/>
        </w:rPr>
        <w:t>’</w:t>
      </w:r>
      <w:r w:rsidRPr="00E810B0">
        <w:rPr>
          <w:b/>
          <w:i/>
        </w:rPr>
        <w:t xml:space="preserve"> </w:t>
      </w:r>
      <w:r w:rsidRPr="00E810B0">
        <w:rPr>
          <w:bCs/>
          <w:i/>
        </w:rPr>
        <w:t>– i.e. how do you expect</w:t>
      </w:r>
      <w:r w:rsidR="00F8262A" w:rsidRPr="00E810B0">
        <w:rPr>
          <w:bCs/>
          <w:i/>
        </w:rPr>
        <w:t xml:space="preserve"> these</w:t>
      </w:r>
      <w:r w:rsidRPr="00E810B0">
        <w:rPr>
          <w:bCs/>
          <w:i/>
        </w:rPr>
        <w:t xml:space="preserve"> interventions to lead to results</w:t>
      </w:r>
      <w:r w:rsidR="00F8262A" w:rsidRPr="00E810B0">
        <w:rPr>
          <w:bCs/>
          <w:i/>
        </w:rPr>
        <w:t xml:space="preserve"> and why have these interventions been selected</w:t>
      </w:r>
      <w:r w:rsidR="00DD6EEE" w:rsidRPr="00E810B0">
        <w:rPr>
          <w:bCs/>
          <w:i/>
        </w:rPr>
        <w:t>.</w:t>
      </w:r>
      <w:r w:rsidR="00BB46DC" w:rsidRPr="00E810B0">
        <w:rPr>
          <w:i/>
        </w:rPr>
        <w:t xml:space="preserve"> </w:t>
      </w:r>
      <w:r w:rsidR="00570F35" w:rsidRPr="00E810B0">
        <w:rPr>
          <w:i/>
        </w:rPr>
        <w:t>Specify if any of these interventions are particularly risky.</w:t>
      </w:r>
    </w:p>
    <w:p w14:paraId="63ECCE1D" w14:textId="76FBB33B" w:rsidR="0033583B" w:rsidRPr="00E810B0" w:rsidRDefault="00570F35" w:rsidP="00BD6F70">
      <w:pPr>
        <w:ind w:left="720"/>
        <w:jc w:val="both"/>
        <w:rPr>
          <w:i/>
          <w:iCs/>
        </w:rPr>
      </w:pPr>
      <w:r w:rsidRPr="00E810B0">
        <w:rPr>
          <w:rFonts w:ascii="Calibri" w:hAnsi="Calibri"/>
          <w:i/>
          <w:iCs/>
          <w:sz w:val="22"/>
          <w:szCs w:val="22"/>
        </w:rPr>
        <w:t>(Note: C</w:t>
      </w:r>
      <w:r w:rsidR="00DD6EEE" w:rsidRPr="00E810B0">
        <w:rPr>
          <w:i/>
          <w:iCs/>
        </w:rPr>
        <w:t>hange may happen through various and diverse approaches, i.e. social cohesion may be fostered through dialogue or employment opportunities or joint management of infrastructure</w:t>
      </w:r>
      <w:r w:rsidR="00BB46DC" w:rsidRPr="00E810B0">
        <w:rPr>
          <w:i/>
          <w:iCs/>
        </w:rPr>
        <w:t>. The selection of which approach should</w:t>
      </w:r>
      <w:r w:rsidR="00DD6EEE" w:rsidRPr="00E810B0">
        <w:rPr>
          <w:i/>
          <w:iCs/>
        </w:rPr>
        <w:t xml:space="preserve"> depend on </w:t>
      </w:r>
      <w:r w:rsidR="00BB46DC" w:rsidRPr="00E810B0">
        <w:rPr>
          <w:i/>
          <w:iCs/>
        </w:rPr>
        <w:t>context-specific factors. W</w:t>
      </w:r>
      <w:r w:rsidR="00DD6EEE" w:rsidRPr="00E810B0">
        <w:rPr>
          <w:i/>
          <w:iCs/>
        </w:rPr>
        <w:t xml:space="preserve">hat basic </w:t>
      </w:r>
      <w:r w:rsidR="007C5B08" w:rsidRPr="00E810B0">
        <w:rPr>
          <w:i/>
          <w:iCs/>
        </w:rPr>
        <w:t>assumptions</w:t>
      </w:r>
      <w:r w:rsidR="00DD6EEE" w:rsidRPr="00E810B0">
        <w:rPr>
          <w:i/>
          <w:iCs/>
        </w:rPr>
        <w:t xml:space="preserve"> about how change will occur have driven your choice of programming approach</w:t>
      </w:r>
      <w:r w:rsidRPr="00E810B0">
        <w:rPr>
          <w:i/>
          <w:iCs/>
        </w:rPr>
        <w:t>?)</w:t>
      </w:r>
    </w:p>
    <w:p w14:paraId="0EAC0CB9" w14:textId="77777777" w:rsidR="00640556" w:rsidRPr="00E810B0" w:rsidRDefault="00640556" w:rsidP="00E810B0">
      <w:pPr>
        <w:pStyle w:val="ListParagraph"/>
        <w:jc w:val="both"/>
        <w:rPr>
          <w:i/>
          <w:highlight w:val="cyan"/>
        </w:rPr>
      </w:pPr>
    </w:p>
    <w:p w14:paraId="7970D50B" w14:textId="45BA9369" w:rsidR="00C709F5" w:rsidRPr="00E810B0" w:rsidRDefault="024F8808" w:rsidP="00E810B0">
      <w:pPr>
        <w:numPr>
          <w:ilvl w:val="0"/>
          <w:numId w:val="5"/>
        </w:numPr>
        <w:jc w:val="both"/>
        <w:rPr>
          <w:i/>
        </w:rPr>
      </w:pPr>
      <w:r w:rsidRPr="00E810B0">
        <w:rPr>
          <w:b/>
          <w:bCs/>
          <w:i/>
        </w:rPr>
        <w:t>Project implementation strategy</w:t>
      </w:r>
      <w:r w:rsidRPr="00E810B0">
        <w:rPr>
          <w:i/>
        </w:rPr>
        <w:t xml:space="preserve"> – explain </w:t>
      </w:r>
      <w:r w:rsidRPr="00E810B0">
        <w:rPr>
          <w:b/>
          <w:bCs/>
          <w:i/>
        </w:rPr>
        <w:t>how</w:t>
      </w:r>
      <w:r w:rsidRPr="00E810B0">
        <w:rPr>
          <w:i/>
        </w:rPr>
        <w:t xml:space="preserve"> the project will undertake the activities to ensure most effective and efficient achievement of results, including justification for geographic zones, criteria for beneficiary selection, timing among various activities, coherence between results and any other information on implementation approach (must be gender- and age-sensitive). No need to repeat all outputs and activities from the Result Framework.</w:t>
      </w:r>
    </w:p>
    <w:p w14:paraId="41E66A01" w14:textId="77777777" w:rsidR="00F654FA" w:rsidRDefault="00F654FA" w:rsidP="00D570C5">
      <w:pPr>
        <w:rPr>
          <w:rFonts w:ascii="Calibri" w:eastAsia="Calibri" w:hAnsi="Calibri" w:cs="Calibri"/>
          <w:sz w:val="22"/>
          <w:szCs w:val="22"/>
        </w:rPr>
      </w:pPr>
    </w:p>
    <w:p w14:paraId="63DDAFBF" w14:textId="7A1DCF72" w:rsidR="024F8808" w:rsidRPr="00F654FA" w:rsidRDefault="024F8808" w:rsidP="00D570C5">
      <w:pPr>
        <w:jc w:val="both"/>
      </w:pPr>
      <w:r w:rsidRPr="00F654FA">
        <w:lastRenderedPageBreak/>
        <w:t xml:space="preserve">Responding to the identified challenges and opportunities to develop mutually-reinforcing interventions that at one and the same time challenge divisive narratives and inherited prejudice between communities, reduce distrust between communities and service providers serving those communities, and enhance intergenerational understanding and tolerance, the </w:t>
      </w:r>
      <w:r w:rsidR="00181EF4">
        <w:t>project</w:t>
      </w:r>
      <w:r w:rsidRPr="00F654FA">
        <w:t xml:space="preserve"> will employ a well-rounded, multi-pronged intervention utilizing global best practices and based on evidence-informed priorities.</w:t>
      </w:r>
    </w:p>
    <w:p w14:paraId="204109D5" w14:textId="2B9F2627" w:rsidR="024F8808" w:rsidRPr="00F654FA" w:rsidRDefault="024F8808" w:rsidP="00D570C5">
      <w:pPr>
        <w:jc w:val="both"/>
      </w:pPr>
    </w:p>
    <w:p w14:paraId="26A470E2" w14:textId="0D1EF403" w:rsidR="024F8808" w:rsidRDefault="024F8808" w:rsidP="00D570C5">
      <w:pPr>
        <w:jc w:val="both"/>
      </w:pPr>
      <w:r>
        <w:t xml:space="preserve">The geographical scope of activities will be </w:t>
      </w:r>
      <w:proofErr w:type="spellStart"/>
      <w:r>
        <w:t>Prishtin</w:t>
      </w:r>
      <w:r w:rsidR="00F654FA">
        <w:t>ë</w:t>
      </w:r>
      <w:proofErr w:type="spellEnd"/>
      <w:r>
        <w:t>/</w:t>
      </w:r>
      <w:proofErr w:type="spellStart"/>
      <w:r>
        <w:t>Pri</w:t>
      </w:r>
      <w:r w:rsidR="00F654FA">
        <w:t>š</w:t>
      </w:r>
      <w:r>
        <w:t>tina</w:t>
      </w:r>
      <w:proofErr w:type="spellEnd"/>
      <w:r>
        <w:t xml:space="preserve"> and </w:t>
      </w:r>
      <w:proofErr w:type="spellStart"/>
      <w:r>
        <w:t>Mitrovic</w:t>
      </w:r>
      <w:r w:rsidR="00F654FA">
        <w:t>ë</w:t>
      </w:r>
      <w:proofErr w:type="spellEnd"/>
      <w:r>
        <w:t xml:space="preserve">/Mitrovica regions (jointly 15 of the 38 municipalities in Kosovo). These regions feature a high degree of linguistic and identity group diversity. Specifically, within this geographical scope, the </w:t>
      </w:r>
      <w:r w:rsidR="00181EF4">
        <w:t>project</w:t>
      </w:r>
      <w:r>
        <w:t xml:space="preserve"> will target young women and men, in the age group 16-26 (which previous studies on youth marginalization have identified as those most vulnerable) from the most vulnerable population groups as defined by the local population demographics: young people from the </w:t>
      </w:r>
      <w:r w:rsidR="00E22997">
        <w:t xml:space="preserve">non-majority </w:t>
      </w:r>
      <w:r>
        <w:t>groups physically located within a different majority population; for example, Albanian speakers within a Serb</w:t>
      </w:r>
      <w:r w:rsidR="00CC48C7">
        <w:t xml:space="preserve"> </w:t>
      </w:r>
      <w:r>
        <w:t xml:space="preserve">majority community, Serbian speakers within an Albanian majority community, Roma within an Albanian or Serb majority community. Such examples are commonplace within, for example, the municipalities of </w:t>
      </w:r>
      <w:proofErr w:type="spellStart"/>
      <w:r>
        <w:t>Fush</w:t>
      </w:r>
      <w:r w:rsidR="00D72DB7">
        <w:t>ë</w:t>
      </w:r>
      <w:proofErr w:type="spellEnd"/>
      <w:r>
        <w:t xml:space="preserve"> </w:t>
      </w:r>
      <w:proofErr w:type="spellStart"/>
      <w:r>
        <w:t>Kosov</w:t>
      </w:r>
      <w:r w:rsidR="00D72DB7">
        <w:t>ë</w:t>
      </w:r>
      <w:proofErr w:type="spellEnd"/>
      <w:r>
        <w:t xml:space="preserve">/Kosovo Polje, </w:t>
      </w:r>
      <w:proofErr w:type="spellStart"/>
      <w:r>
        <w:t>Lipja</w:t>
      </w:r>
      <w:r w:rsidR="00005FAA">
        <w:t>n</w:t>
      </w:r>
      <w:proofErr w:type="spellEnd"/>
      <w:r>
        <w:t>/</w:t>
      </w:r>
      <w:proofErr w:type="spellStart"/>
      <w:r>
        <w:t>Lipljan</w:t>
      </w:r>
      <w:proofErr w:type="spellEnd"/>
      <w:r>
        <w:t xml:space="preserve">, </w:t>
      </w:r>
      <w:proofErr w:type="spellStart"/>
      <w:r>
        <w:t>Leposavi</w:t>
      </w:r>
      <w:r w:rsidR="00005FAA">
        <w:t>ć</w:t>
      </w:r>
      <w:proofErr w:type="spellEnd"/>
      <w:r>
        <w:t>/</w:t>
      </w:r>
      <w:proofErr w:type="spellStart"/>
      <w:r>
        <w:t>Leposa</w:t>
      </w:r>
      <w:r w:rsidR="00F654FA">
        <w:t>v</w:t>
      </w:r>
      <w:r>
        <w:t>iq</w:t>
      </w:r>
      <w:proofErr w:type="spellEnd"/>
      <w:r>
        <w:t xml:space="preserve">. </w:t>
      </w:r>
      <w:r w:rsidR="00E22997">
        <w:t xml:space="preserve">The project will provide opportunities for greater interaction between non-majority and majority communities in support of greater inter-communal dialogue and trust. </w:t>
      </w:r>
      <w:r w:rsidR="00617DE5" w:rsidRPr="00617DE5">
        <w:t>The project will promote equal participation of young women and m</w:t>
      </w:r>
      <w:r w:rsidR="00617DE5">
        <w:t>e</w:t>
      </w:r>
      <w:r w:rsidR="006E204C">
        <w:t>n</w:t>
      </w:r>
      <w:r w:rsidR="00617DE5" w:rsidRPr="00617DE5">
        <w:t xml:space="preserve"> and </w:t>
      </w:r>
      <w:r w:rsidR="00617DE5">
        <w:t>will have specific activities dedicated to women’s empowerment</w:t>
      </w:r>
      <w:r w:rsidR="00617DE5" w:rsidRPr="00617DE5">
        <w:t>.</w:t>
      </w:r>
    </w:p>
    <w:p w14:paraId="633B9031" w14:textId="560A6CD3" w:rsidR="024F8808" w:rsidRDefault="024F8808" w:rsidP="00D570C5">
      <w:pPr>
        <w:jc w:val="both"/>
      </w:pPr>
    </w:p>
    <w:p w14:paraId="19F78866" w14:textId="61EDD5D4" w:rsidR="024F8808" w:rsidRDefault="024F8808" w:rsidP="00D570C5">
      <w:pPr>
        <w:jc w:val="both"/>
      </w:pPr>
      <w:bookmarkStart w:id="3" w:name="OLE_LINK1"/>
      <w:r>
        <w:t xml:space="preserve">The </w:t>
      </w:r>
      <w:r w:rsidRPr="024F8808">
        <w:rPr>
          <w:b/>
          <w:bCs/>
        </w:rPr>
        <w:t xml:space="preserve">outcome </w:t>
      </w:r>
      <w:r>
        <w:t xml:space="preserve">of this </w:t>
      </w:r>
      <w:r w:rsidR="00181EF4">
        <w:t>project</w:t>
      </w:r>
      <w:r>
        <w:t xml:space="preserve"> will be that the influence of conflict narratives and prejudice has decreased through improved social cohesion resulting from local populations working together and with local institutions on contemporary issues of shared interest to jointly develop solutions for a common future.</w:t>
      </w:r>
    </w:p>
    <w:bookmarkEnd w:id="3"/>
    <w:p w14:paraId="63DD9DD2" w14:textId="6A6F23C3" w:rsidR="024F8808" w:rsidRDefault="024F8808" w:rsidP="00D570C5"/>
    <w:p w14:paraId="7474384E" w14:textId="7B6D6AB6" w:rsidR="00434930" w:rsidRPr="00F654FA" w:rsidRDefault="00434930" w:rsidP="00D570C5">
      <w:pPr>
        <w:jc w:val="both"/>
        <w:rPr>
          <w:b/>
        </w:rPr>
      </w:pPr>
      <w:r w:rsidRPr="00F654FA">
        <w:rPr>
          <w:b/>
        </w:rPr>
        <w:t>Output 1</w:t>
      </w:r>
      <w:r w:rsidR="00117E6B">
        <w:rPr>
          <w:b/>
        </w:rPr>
        <w:t>.1</w:t>
      </w:r>
      <w:r w:rsidRPr="00F654FA">
        <w:rPr>
          <w:b/>
        </w:rPr>
        <w:t xml:space="preserve">: Young women and men from </w:t>
      </w:r>
      <w:r w:rsidRPr="00121F3E">
        <w:rPr>
          <w:b/>
        </w:rPr>
        <w:t>communities polarized in the current political environment</w:t>
      </w:r>
      <w:r w:rsidRPr="00121F3E" w:rsidDel="00121F3E">
        <w:rPr>
          <w:b/>
        </w:rPr>
        <w:t xml:space="preserve"> </w:t>
      </w:r>
      <w:r w:rsidRPr="00F654FA">
        <w:rPr>
          <w:b/>
        </w:rPr>
        <w:t>have established the practice of jointly addressing issues of shared interest and concern.</w:t>
      </w:r>
    </w:p>
    <w:p w14:paraId="03345BE0" w14:textId="61EAFFA1" w:rsidR="024F8808" w:rsidRPr="00F654FA" w:rsidRDefault="024F8808" w:rsidP="00D570C5">
      <w:pPr>
        <w:jc w:val="both"/>
      </w:pPr>
    </w:p>
    <w:p w14:paraId="1FEE7D9C" w14:textId="1740DFDE" w:rsidR="00434930" w:rsidRDefault="00434930" w:rsidP="00D570C5">
      <w:pPr>
        <w:jc w:val="both"/>
      </w:pPr>
      <w:r w:rsidRPr="00F654FA">
        <w:t xml:space="preserve">The </w:t>
      </w:r>
      <w:r w:rsidR="00181EF4">
        <w:t>project</w:t>
      </w:r>
      <w:r w:rsidRPr="00F654FA">
        <w:t xml:space="preserve"> will engage young women and men </w:t>
      </w:r>
      <w:r>
        <w:t xml:space="preserve">aged 16-26 </w:t>
      </w:r>
      <w:r w:rsidR="00AD03BD">
        <w:t>to provide them with skills for life</w:t>
      </w:r>
      <w:r w:rsidR="00AD03BD" w:rsidRPr="00F654FA">
        <w:t xml:space="preserve"> </w:t>
      </w:r>
      <w:r w:rsidR="00AD03BD">
        <w:t>through a human-centered</w:t>
      </w:r>
      <w:r w:rsidR="00AD03BD" w:rsidRPr="00F654FA">
        <w:t xml:space="preserve"> design methodology with follow-up small-grant funding to implement the project activities selected and designed. </w:t>
      </w:r>
      <w:r w:rsidR="00AD03BD" w:rsidRPr="002A48F0">
        <w:rPr>
          <w:rFonts w:eastAsiaTheme="minorEastAsia"/>
        </w:rPr>
        <w:t xml:space="preserve">Through a structured continuum of </w:t>
      </w:r>
      <w:r w:rsidR="00AD03BD">
        <w:rPr>
          <w:rFonts w:eastAsiaTheme="minorEastAsia"/>
        </w:rPr>
        <w:t xml:space="preserve">cutting-edge </w:t>
      </w:r>
      <w:r w:rsidR="00AD03BD" w:rsidRPr="002A48F0">
        <w:rPr>
          <w:rFonts w:eastAsiaTheme="minorEastAsia"/>
        </w:rPr>
        <w:t xml:space="preserve">experiential learning </w:t>
      </w:r>
      <w:r w:rsidR="00AD03BD">
        <w:rPr>
          <w:rFonts w:eastAsiaTheme="minorEastAsia"/>
        </w:rPr>
        <w:t>and mentoring</w:t>
      </w:r>
      <w:r w:rsidR="00AD03BD" w:rsidRPr="002A48F0">
        <w:rPr>
          <w:rFonts w:eastAsiaTheme="minorEastAsia"/>
        </w:rPr>
        <w:t xml:space="preserve">, </w:t>
      </w:r>
      <w:r w:rsidR="00AD03BD">
        <w:rPr>
          <w:rFonts w:eastAsiaTheme="minorEastAsia"/>
        </w:rPr>
        <w:t>young women and men will</w:t>
      </w:r>
      <w:r w:rsidR="00AD03BD" w:rsidRPr="002A48F0">
        <w:rPr>
          <w:rFonts w:eastAsiaTheme="minorEastAsia"/>
        </w:rPr>
        <w:t xml:space="preserve"> understand community challenges, design and build solutions</w:t>
      </w:r>
      <w:r w:rsidR="00AD03BD">
        <w:t xml:space="preserve"> </w:t>
      </w:r>
      <w:r w:rsidR="00AD03BD">
        <w:rPr>
          <w:rFonts w:eastAsiaTheme="minorEastAsia"/>
        </w:rPr>
        <w:t>to meet unmet social needs in their communities.</w:t>
      </w:r>
      <w:r w:rsidR="00AD03BD">
        <w:t xml:space="preserve"> </w:t>
      </w:r>
      <w:r w:rsidRPr="00F654FA">
        <w:t>This methodology will promote the “</w:t>
      </w:r>
      <w:r w:rsidR="00AD03BD">
        <w:t xml:space="preserve">culture and </w:t>
      </w:r>
      <w:r w:rsidRPr="00F654FA">
        <w:t xml:space="preserve">habit of doing things together” approach to breaking down stereotypes and prejudice by empirically challenging divisive narratives. </w:t>
      </w:r>
      <w:r w:rsidR="00784C6E">
        <w:t>Furthermore, t</w:t>
      </w:r>
      <w:r w:rsidR="00AD03BD">
        <w:t>his intervention will provide young people with</w:t>
      </w:r>
      <w:r w:rsidR="00AD03BD" w:rsidRPr="00EA4B4E">
        <w:t xml:space="preserve"> critical thinking</w:t>
      </w:r>
      <w:r w:rsidR="00AD03BD">
        <w:t xml:space="preserve"> skills and give them</w:t>
      </w:r>
      <w:r w:rsidR="00AD03BD" w:rsidRPr="00EA4B4E">
        <w:t xml:space="preserve"> the ability to filter the messages in m</w:t>
      </w:r>
      <w:r w:rsidR="00AD03BD">
        <w:t xml:space="preserve">ass/social media </w:t>
      </w:r>
      <w:r w:rsidR="00AD03BD" w:rsidRPr="00EA4B4E">
        <w:t xml:space="preserve">to challenge </w:t>
      </w:r>
      <w:r w:rsidR="00AD03BD">
        <w:t xml:space="preserve">extremism, </w:t>
      </w:r>
      <w:r w:rsidR="00AD03BD" w:rsidRPr="00EA4B4E">
        <w:t>subjective information or biased media reports</w:t>
      </w:r>
      <w:r w:rsidR="00AD03BD">
        <w:t xml:space="preserve"> or “brain washing”</w:t>
      </w:r>
      <w:r w:rsidR="00AD03BD" w:rsidRPr="00EA4B4E">
        <w:t xml:space="preserve">. </w:t>
      </w:r>
      <w:r>
        <w:t xml:space="preserve">The process will be facilitated by expert partners able to support the groups in each location in creating a safe space for shared reflection on the social problems affecting their respective areas, from their shared perspective as young people. </w:t>
      </w:r>
    </w:p>
    <w:p w14:paraId="3AEDFE1F" w14:textId="77777777" w:rsidR="00434930" w:rsidRDefault="00434930" w:rsidP="00D570C5">
      <w:pPr>
        <w:jc w:val="both"/>
      </w:pPr>
    </w:p>
    <w:p w14:paraId="66523C52" w14:textId="65116B26" w:rsidR="00434930" w:rsidRPr="00F654FA" w:rsidRDefault="00434930" w:rsidP="00D570C5">
      <w:pPr>
        <w:jc w:val="both"/>
      </w:pPr>
      <w:r w:rsidRPr="00F654FA">
        <w:t>The participants will choose their own issues</w:t>
      </w:r>
      <w:r>
        <w:t xml:space="preserve"> (e.g. service delivery priorities,</w:t>
      </w:r>
      <w:r w:rsidRPr="00F654FA">
        <w:t xml:space="preserve"> drugs, environmental degradation, extremism, domestic or community violence, unemployment, education, lack of social and leisure facilities, </w:t>
      </w:r>
      <w:r w:rsidR="00AD03BD">
        <w:t xml:space="preserve">or </w:t>
      </w:r>
      <w:r w:rsidRPr="00F654FA">
        <w:t>political issues</w:t>
      </w:r>
      <w:r>
        <w:t>)</w:t>
      </w:r>
      <w:r w:rsidRPr="00F654FA">
        <w:t xml:space="preserve">. </w:t>
      </w:r>
      <w:r>
        <w:t>In addition to being supported to design catalytic civic interventions to respond to these issues, the</w:t>
      </w:r>
      <w:r w:rsidRPr="00F654FA">
        <w:t xml:space="preserve"> project workshop </w:t>
      </w:r>
      <w:r w:rsidR="00AD03BD">
        <w:t>participants</w:t>
      </w:r>
      <w:r w:rsidR="00AD03BD" w:rsidRPr="00F654FA">
        <w:t xml:space="preserve"> </w:t>
      </w:r>
      <w:r w:rsidRPr="00F654FA">
        <w:t xml:space="preserve">will be supported to make a series of short video documentaries, </w:t>
      </w:r>
      <w:r>
        <w:t xml:space="preserve">investigating and </w:t>
      </w:r>
      <w:r w:rsidRPr="00F654FA">
        <w:t>highlighting their issues of concern and showcasing their project responses</w:t>
      </w:r>
      <w:r w:rsidR="00AD03BD">
        <w:t xml:space="preserve"> and solutions</w:t>
      </w:r>
      <w:r w:rsidRPr="00F654FA">
        <w:t xml:space="preserve">. The UN Kosovo Team </w:t>
      </w:r>
      <w:r w:rsidR="00E22997">
        <w:t xml:space="preserve">will </w:t>
      </w:r>
      <w:r w:rsidR="00AD03BD">
        <w:t xml:space="preserve">establish partnerships </w:t>
      </w:r>
      <w:r w:rsidR="00AD03BD">
        <w:lastRenderedPageBreak/>
        <w:t xml:space="preserve">with TV, radio and social media platforms to </w:t>
      </w:r>
      <w:r w:rsidR="00AD03BD" w:rsidRPr="00F654FA">
        <w:t xml:space="preserve">facilitate </w:t>
      </w:r>
      <w:r w:rsidRPr="00F654FA">
        <w:t xml:space="preserve">the airing of the documentary products, with focus on local, community-based television and social media broadcast. The UN Kosovo Team will also facilitate participation of selected youth and their projects in international youth forums. The UN Kosovo Team will also provide a feedback mechanism to advocate with the teachers of the young participants, encompassing those in both Albanian-language and Serbian-language education systems, to highlight the positives of practical cooperation, and develop the “positive counter-narratives” model to establish critical mass in schools serving both sides of the conflict divide. </w:t>
      </w:r>
      <w:r w:rsidR="00AD03BD">
        <w:t xml:space="preserve">In addition, using peer mediation </w:t>
      </w:r>
      <w:proofErr w:type="spellStart"/>
      <w:r w:rsidR="00AD03BD">
        <w:t>programmes</w:t>
      </w:r>
      <w:proofErr w:type="spellEnd"/>
      <w:r w:rsidR="00AD03BD">
        <w:t xml:space="preserve">, young boys and girls </w:t>
      </w:r>
      <w:r w:rsidR="006C35B7">
        <w:t xml:space="preserve">from lower secondary and secondary schools </w:t>
      </w:r>
      <w:r w:rsidR="00AD03BD" w:rsidRPr="0044772D">
        <w:t xml:space="preserve">will be skilled in non-violent </w:t>
      </w:r>
      <w:r w:rsidR="006C35B7">
        <w:t xml:space="preserve">peer-to-peer dispute and </w:t>
      </w:r>
      <w:r w:rsidR="00AD03BD" w:rsidRPr="0044772D">
        <w:t>conflict resolution</w:t>
      </w:r>
      <w:r w:rsidR="006C35B7">
        <w:t xml:space="preserve"> </w:t>
      </w:r>
      <w:r w:rsidR="00AD03BD" w:rsidRPr="0044772D">
        <w:t>techniques</w:t>
      </w:r>
      <w:r w:rsidR="00AD03BD">
        <w:t>. This will contribute to strengthen capacities of young men and women to</w:t>
      </w:r>
      <w:r w:rsidR="00AD03BD" w:rsidRPr="0044772D">
        <w:t xml:space="preserve"> have a better understanding </w:t>
      </w:r>
      <w:r w:rsidR="00AD03BD">
        <w:t xml:space="preserve">of their role as social agents for </w:t>
      </w:r>
      <w:r w:rsidR="00AD03BD" w:rsidRPr="0044772D">
        <w:t xml:space="preserve">conflict </w:t>
      </w:r>
      <w:r w:rsidR="00AD03BD">
        <w:t xml:space="preserve">resolution. </w:t>
      </w:r>
      <w:r w:rsidRPr="00F654FA">
        <w:t xml:space="preserve">UNICEF will lead this </w:t>
      </w:r>
      <w:r w:rsidR="0005701C">
        <w:t>output</w:t>
      </w:r>
      <w:r w:rsidRPr="00F654FA">
        <w:t>.</w:t>
      </w:r>
      <w:r w:rsidR="00D22282">
        <w:t xml:space="preserve"> </w:t>
      </w:r>
    </w:p>
    <w:p w14:paraId="3418F06C" w14:textId="3A632128" w:rsidR="024F8808" w:rsidRDefault="024F8808" w:rsidP="00D570C5">
      <w:pPr>
        <w:ind w:left="360"/>
        <w:jc w:val="both"/>
      </w:pPr>
      <w:r w:rsidRPr="00F654FA">
        <w:t xml:space="preserve"> </w:t>
      </w:r>
    </w:p>
    <w:p w14:paraId="52337193" w14:textId="418B165D" w:rsidR="00434930" w:rsidRPr="00E111A3" w:rsidRDefault="2D7025CE" w:rsidP="2D7025CE">
      <w:pPr>
        <w:jc w:val="both"/>
        <w:rPr>
          <w:b/>
          <w:bCs/>
        </w:rPr>
      </w:pPr>
      <w:r w:rsidRPr="2D7025CE">
        <w:rPr>
          <w:b/>
          <w:bCs/>
        </w:rPr>
        <w:t xml:space="preserve">Output </w:t>
      </w:r>
      <w:r w:rsidR="00117E6B">
        <w:rPr>
          <w:b/>
          <w:bCs/>
        </w:rPr>
        <w:t>1.</w:t>
      </w:r>
      <w:r w:rsidRPr="2D7025CE">
        <w:rPr>
          <w:b/>
          <w:bCs/>
        </w:rPr>
        <w:t>2: Trust in public institutions/service providers and confidence in gaining employment opportunities has improved through direct engagement based on responsive, transparent and participatory interaction.</w:t>
      </w:r>
    </w:p>
    <w:p w14:paraId="1A98E64D" w14:textId="77777777" w:rsidR="00434930" w:rsidRPr="00E111A3" w:rsidRDefault="00434930" w:rsidP="00D570C5">
      <w:pPr>
        <w:jc w:val="both"/>
      </w:pPr>
      <w:r w:rsidRPr="00E111A3">
        <w:t xml:space="preserve"> </w:t>
      </w:r>
    </w:p>
    <w:p w14:paraId="76C7DFE7" w14:textId="5F00D129" w:rsidR="00434930" w:rsidRPr="00E111A3" w:rsidRDefault="2D7025CE" w:rsidP="00D570C5">
      <w:pPr>
        <w:jc w:val="both"/>
      </w:pPr>
      <w:r>
        <w:t xml:space="preserve">Service provision networks established in the course of previous programmatic activities, notably UNDP’s Active </w:t>
      </w:r>
      <w:proofErr w:type="spellStart"/>
      <w:r>
        <w:t>Labour</w:t>
      </w:r>
      <w:proofErr w:type="spellEnd"/>
      <w:r>
        <w:t xml:space="preserve"> Market </w:t>
      </w:r>
      <w:proofErr w:type="spellStart"/>
      <w:r>
        <w:t>Programmes</w:t>
      </w:r>
      <w:proofErr w:type="spellEnd"/>
      <w:r>
        <w:t xml:space="preserve"> and UN Volunteers </w:t>
      </w:r>
      <w:proofErr w:type="spellStart"/>
      <w:r>
        <w:t>programme</w:t>
      </w:r>
      <w:proofErr w:type="spellEnd"/>
      <w:r>
        <w:t xml:space="preserve"> will be utilized to develop near-market skills, increase employability through volunteer engagement opportunities, and provide working experience for the young women and men, with specific focus on those “not in education, employment, and training” (NEET) and particular attention to gender balanced activities. Intended target group will include the youth participants from the project design workshop component of this project (output 1). Beneficiaries will gain practical experience in the private-sector and local </w:t>
      </w:r>
      <w:r w:rsidR="00C00AC8">
        <w:t>public institutions</w:t>
      </w:r>
      <w:r>
        <w:t xml:space="preserve">, enhancing their chances to participate in the </w:t>
      </w:r>
      <w:proofErr w:type="spellStart"/>
      <w:r>
        <w:t>labour</w:t>
      </w:r>
      <w:proofErr w:type="spellEnd"/>
      <w:r>
        <w:t xml:space="preserve"> market. The project will capitalize upon existing networks and partnerships to build confidence of the young people to engage with public institutions and service providers and ensure access to the services available. The project will also encourage and mentor the direct participation of the target youth in </w:t>
      </w:r>
      <w:r w:rsidRPr="008D6FD6">
        <w:t>public activities of municipal assemblies</w:t>
      </w:r>
      <w:r>
        <w:t xml:space="preserve"> </w:t>
      </w:r>
      <w:proofErr w:type="gramStart"/>
      <w:r>
        <w:t>in order to</w:t>
      </w:r>
      <w:proofErr w:type="gramEnd"/>
      <w:r>
        <w:t xml:space="preserve"> capitalize upon existing mechanisms for community advocacy. </w:t>
      </w:r>
      <w:r w:rsidR="007C64B0">
        <w:t>Increased trust between youth and institutions of governance will be promoted t</w:t>
      </w:r>
      <w:r>
        <w:t xml:space="preserve">hrough this mechanism, </w:t>
      </w:r>
      <w:r w:rsidR="007C64B0">
        <w:t xml:space="preserve">with such activities </w:t>
      </w:r>
      <w:r w:rsidR="008D6FD6">
        <w:t xml:space="preserve">also building on UNMIK’s </w:t>
      </w:r>
      <w:r w:rsidR="007C64B0">
        <w:t xml:space="preserve">Confidence-building Measures projects and its </w:t>
      </w:r>
      <w:r w:rsidR="008D6FD6">
        <w:t>work to support capacity development of Local Youth Action Councils and foster multi-ethnic youth participation in decision-making in 30 municipalities</w:t>
      </w:r>
      <w:r>
        <w:t>. Youth who gain work experience within the institutions of governance will become community-level advocates which will further diminish existing distrust of governing institutions. Where possible and feasible,</w:t>
      </w:r>
      <w:r w:rsidRPr="2D7025CE">
        <w:rPr>
          <w:b/>
          <w:bCs/>
        </w:rPr>
        <w:t xml:space="preserve"> </w:t>
      </w:r>
      <w:r>
        <w:t xml:space="preserve">geographical variation will be used to enable the participants to gain experience with and within other communities through the UN Community Volunteer modality. In every case, preference will be given to provide advisory and material support to innovate start-up activities designed by the participants in the project </w:t>
      </w:r>
      <w:proofErr w:type="gramStart"/>
      <w:r>
        <w:t>in order to</w:t>
      </w:r>
      <w:proofErr w:type="gramEnd"/>
      <w:r>
        <w:t xml:space="preserve"> consolidate the inter-community cooperation model established, with aim to move from demographic dividend to peace dividend. UNDP-UNV will lead this output.</w:t>
      </w:r>
    </w:p>
    <w:p w14:paraId="66C60A40" w14:textId="5C9E41BE" w:rsidR="024F8808" w:rsidRPr="00F654FA" w:rsidRDefault="024F8808" w:rsidP="00D570C5">
      <w:pPr>
        <w:jc w:val="both"/>
      </w:pPr>
    </w:p>
    <w:p w14:paraId="7F202AF2" w14:textId="3696E293" w:rsidR="00AE76EE" w:rsidRPr="00447838" w:rsidRDefault="00AE76EE" w:rsidP="00D570C5">
      <w:pPr>
        <w:jc w:val="both"/>
        <w:rPr>
          <w:b/>
        </w:rPr>
      </w:pPr>
      <w:r w:rsidRPr="00447838">
        <w:rPr>
          <w:b/>
        </w:rPr>
        <w:t xml:space="preserve">Output </w:t>
      </w:r>
      <w:r w:rsidR="00117E6B">
        <w:rPr>
          <w:b/>
        </w:rPr>
        <w:t>1.</w:t>
      </w:r>
      <w:r w:rsidRPr="00447838">
        <w:rPr>
          <w:b/>
        </w:rPr>
        <w:t xml:space="preserve">3: </w:t>
      </w:r>
      <w:r w:rsidRPr="00447838">
        <w:rPr>
          <w:b/>
          <w:bCs/>
        </w:rPr>
        <w:t xml:space="preserve">Leadership capacity and influence of women and young girls to engage in peacebuilding </w:t>
      </w:r>
      <w:r w:rsidR="0005701C">
        <w:rPr>
          <w:b/>
        </w:rPr>
        <w:t xml:space="preserve">has been </w:t>
      </w:r>
      <w:r w:rsidRPr="00447838">
        <w:rPr>
          <w:b/>
        </w:rPr>
        <w:t>increased.</w:t>
      </w:r>
    </w:p>
    <w:p w14:paraId="101C7FC0" w14:textId="77777777" w:rsidR="00AE76EE" w:rsidRPr="00447838" w:rsidRDefault="00AE76EE" w:rsidP="00D570C5">
      <w:pPr>
        <w:jc w:val="both"/>
      </w:pPr>
    </w:p>
    <w:p w14:paraId="305DA9B7" w14:textId="62D97A52" w:rsidR="00AE76EE" w:rsidRPr="00447838" w:rsidRDefault="00AE76EE" w:rsidP="00D570C5">
      <w:pPr>
        <w:jc w:val="both"/>
      </w:pPr>
      <w:r w:rsidRPr="00447838">
        <w:t xml:space="preserve">Activities will be implemented to increase awareness, knowledge, capacities and influence on gender-responsive peacebuilding. Activities will work with women and young girls from different communities to develop skills and mechanisms to effectively advocate for their needs, working on joint initiatives as a connector, engage media to promote “responsible journalism”, and engage with political institutions to diminish mistrust. </w:t>
      </w:r>
    </w:p>
    <w:p w14:paraId="14449777" w14:textId="77777777" w:rsidR="00AE76EE" w:rsidRPr="00447838" w:rsidRDefault="00AE76EE" w:rsidP="00D570C5">
      <w:pPr>
        <w:jc w:val="both"/>
      </w:pPr>
    </w:p>
    <w:p w14:paraId="26737CBC" w14:textId="7F1A7ECB" w:rsidR="00AE76EE" w:rsidRPr="00447838" w:rsidRDefault="2D7025CE" w:rsidP="00D570C5">
      <w:pPr>
        <w:jc w:val="both"/>
      </w:pPr>
      <w:r>
        <w:lastRenderedPageBreak/>
        <w:t xml:space="preserve">Two aspects of women’s participation in political process and peacebuilding will be strengthened: existing </w:t>
      </w:r>
      <w:r w:rsidR="00256683">
        <w:t>women</w:t>
      </w:r>
      <w:r>
        <w:t xml:space="preserve"> representatives of political institutions will function as “Champions” to mentor the enhanced engagement of young women from the project target group, to encourage and facilitate their direct interaction with and gain practical experience within public institutions. The young women will gain direct experience of governance processes, which will foster trust between the youth and institutions. Simultaneously, the activity, and attention surrounding the activity, will raise the profile of the Champions within the broader political environment. The regular mentoring by the selected mentors will be complemented by communications training to enhance public speaking skills and confidence, advocacy on issues of gender equality and social issues.</w:t>
      </w:r>
      <w:r w:rsidR="007C64B0">
        <w:t xml:space="preserve"> This activity</w:t>
      </w:r>
      <w:r w:rsidR="00252F97">
        <w:t xml:space="preserve"> package</w:t>
      </w:r>
      <w:r w:rsidR="007C64B0">
        <w:t xml:space="preserve"> will complement and reinforce existing efforts such as NDI’s Women’s Leadership Academy and the OSCE Dialogue Academy.</w:t>
      </w:r>
      <w:r>
        <w:t xml:space="preserve"> </w:t>
      </w:r>
      <w:proofErr w:type="gramStart"/>
      <w:r>
        <w:t>In particular, the</w:t>
      </w:r>
      <w:proofErr w:type="gramEnd"/>
      <w:r>
        <w:t xml:space="preserve"> young women beneficiaries of this activity will be supported to develop practical project initiatives in service of the implementation of UNSCR 1325 in their home communities, to independently mobilize resources to implement these activities (to complement the material and advisory support that will be provided through this project) and to report back to the institutions on the activities implemented. The UN Kosovo Team will also facilitate participation of the young women politicians and their mentors in international political forums. UNDP-UNV will lead this activity package, in coordination with UN Women.</w:t>
      </w:r>
    </w:p>
    <w:p w14:paraId="3784FD3B" w14:textId="77777777" w:rsidR="00AE76EE" w:rsidRPr="00447838" w:rsidRDefault="00AE76EE" w:rsidP="00D570C5">
      <w:pPr>
        <w:jc w:val="both"/>
      </w:pPr>
    </w:p>
    <w:p w14:paraId="341339DC" w14:textId="65CDE4C8" w:rsidR="00AE76EE" w:rsidRPr="00447838" w:rsidRDefault="00AE76EE" w:rsidP="00D570C5">
      <w:pPr>
        <w:jc w:val="both"/>
      </w:pPr>
      <w:r w:rsidRPr="00447838">
        <w:t xml:space="preserve">Implementation of specific commitments of the Women, Peace and Security </w:t>
      </w:r>
      <w:r w:rsidR="00EE6C23">
        <w:t xml:space="preserve">agenda </w:t>
      </w:r>
      <w:r w:rsidRPr="00447838">
        <w:t>in partnership with the</w:t>
      </w:r>
      <w:r w:rsidR="008C0B92">
        <w:t xml:space="preserve"> local institutions </w:t>
      </w:r>
      <w:r w:rsidR="00EE6C23">
        <w:t xml:space="preserve">and CSOs </w:t>
      </w:r>
      <w:r w:rsidRPr="00447838">
        <w:t xml:space="preserve">with the focus on the role of young girls as agents of change in and between the communities. Women from all communities will develop and strengthen advocacy and mediation skills and knowledge on gender-responsive peacebuilding, with women representatives of political institutions functioning as “Champions” to mentor their enhanced engagement. </w:t>
      </w:r>
      <w:r w:rsidR="00E60FFC">
        <w:t xml:space="preserve">This </w:t>
      </w:r>
      <w:r w:rsidR="00252F97">
        <w:t xml:space="preserve">service line </w:t>
      </w:r>
      <w:r w:rsidR="00E60FFC">
        <w:t>will complement and build upon joint efforts by UN Women and UNMIK, under the joint Women, Peac</w:t>
      </w:r>
      <w:r w:rsidR="002B0E38">
        <w:t>e and Security projects for 2019/20</w:t>
      </w:r>
      <w:r w:rsidR="00E60FFC">
        <w:t xml:space="preserve"> and </w:t>
      </w:r>
      <w:r w:rsidR="00043461">
        <w:t xml:space="preserve">can benefit from </w:t>
      </w:r>
      <w:r w:rsidR="00E60FFC">
        <w:t xml:space="preserve">DPKO/DPA gender-responsive mediation expertise. </w:t>
      </w:r>
      <w:r w:rsidRPr="00447838">
        <w:t>Media will gain knowledge and tools to actively promote women’s leadership and participation in peacebuilding at local and central levels. Global best practices will be collected by the UN Kosovo Team for use, as positive examples in capacity development, including visiting expertise and short-term placements.</w:t>
      </w:r>
      <w:r w:rsidR="00E52CCA">
        <w:t xml:space="preserve"> </w:t>
      </w:r>
      <w:r w:rsidRPr="00447838">
        <w:t xml:space="preserve">Awareness will be raised, and interest generated on the importance of women’s and youth meaningful inclusion in peacebuilding through lectures through the </w:t>
      </w:r>
      <w:r w:rsidR="008C0B92" w:rsidRPr="00447838">
        <w:t xml:space="preserve">University of Pristina </w:t>
      </w:r>
      <w:r w:rsidR="008C0B92">
        <w:t xml:space="preserve">and the </w:t>
      </w:r>
      <w:r w:rsidRPr="00447838">
        <w:t>Transitional Justice Resource Center, in cooperation with other universities in Kosovo. UN Women will lead this activity</w:t>
      </w:r>
      <w:r w:rsidR="005D0A3B">
        <w:t xml:space="preserve"> package</w:t>
      </w:r>
      <w:r w:rsidRPr="00447838">
        <w:t>.</w:t>
      </w:r>
    </w:p>
    <w:p w14:paraId="29D0B542" w14:textId="7A3CBACD" w:rsidR="024F8808" w:rsidRPr="00F654FA" w:rsidRDefault="024F8808" w:rsidP="00D570C5">
      <w:pPr>
        <w:jc w:val="both"/>
      </w:pPr>
    </w:p>
    <w:p w14:paraId="050723DA" w14:textId="77777777" w:rsidR="00434930" w:rsidRDefault="00434930" w:rsidP="00D570C5">
      <w:pPr>
        <w:jc w:val="both"/>
        <w:rPr>
          <w:b/>
        </w:rPr>
      </w:pPr>
    </w:p>
    <w:p w14:paraId="263092ED" w14:textId="573AC793" w:rsidR="24944324" w:rsidRPr="00F654FA" w:rsidRDefault="24944324" w:rsidP="00D570C5">
      <w:pPr>
        <w:jc w:val="both"/>
        <w:rPr>
          <w:b/>
        </w:rPr>
      </w:pPr>
      <w:r w:rsidRPr="00F654FA">
        <w:rPr>
          <w:b/>
        </w:rPr>
        <w:t>Theory of change</w:t>
      </w:r>
    </w:p>
    <w:p w14:paraId="17F21493" w14:textId="654BB935" w:rsidR="24944324" w:rsidRDefault="24944324" w:rsidP="00D570C5">
      <w:pPr>
        <w:jc w:val="both"/>
      </w:pPr>
      <w:r w:rsidRPr="00F654FA">
        <w:t xml:space="preserve"> </w:t>
      </w:r>
    </w:p>
    <w:p w14:paraId="53B13CC5" w14:textId="18D8166C" w:rsidR="24944324" w:rsidRDefault="24944324" w:rsidP="00D570C5">
      <w:pPr>
        <w:jc w:val="both"/>
      </w:pPr>
      <w:r w:rsidRPr="00F654FA">
        <w:t>Physical and social separation of communities since the end of violent conflict has helped to consolidate prejudices and stereotypes which keep communities apart, and distrustful of each other. The absence of a Dealing with the Past process has encouraged the inheritance of grievances between successive generations. The violent conflict has been transformed into political and diplomatic conflict, and the conflict dynamics continue to fuel the division and mistrust between communities and people. The absence of a political settlement perpetuates the conflict dynamic. The prejudices of division have been compounded by divisive narratives perpetuated to serve the short-term interests of domestic politics, and by the mutually antagonistic foreign policy positions of influential international stakeholders. Public trust in institutions has faltered in consequence of unrealized expectations. Linguistic division, perpetuated in part by the separation of education and other public services on linguistic lines, helps to consolidate the separation of communities and the perpetuation of mistrust. Division, prejudice and divisive narratives persist as drivers of instability and potentially conflict.</w:t>
      </w:r>
    </w:p>
    <w:p w14:paraId="0395B08F" w14:textId="4E04B37F" w:rsidR="24944324" w:rsidRDefault="24944324" w:rsidP="00D570C5">
      <w:pPr>
        <w:jc w:val="both"/>
      </w:pPr>
      <w:r w:rsidRPr="00F654FA">
        <w:lastRenderedPageBreak/>
        <w:t xml:space="preserve"> </w:t>
      </w:r>
    </w:p>
    <w:p w14:paraId="162CE49F" w14:textId="31EDBAB3" w:rsidR="24944324" w:rsidRDefault="24944324" w:rsidP="00D570C5">
      <w:pPr>
        <w:jc w:val="both"/>
      </w:pPr>
      <w:r w:rsidRPr="00F654FA">
        <w:t>Despite the separation of communities and the persistence of conflict narratives, young women and men from both sides of the conflict divide share common interests and concerns, including unemployment, educational deficiencies, poor economic potential and international isolation. By bringing young women and men from different communities physically together to work jointly on issues of shared interest, the “habit” of working together will be established, stereotypes and prejudice will be challenged by the empirical evidence of essentially similar young people trapped and constrained by the narratives and actions of the previous generation. By developing joint activities to highlight and address their shared concerns, and by showcasing their joint endeavors to a wider audience that itself spans the conflict divide, these young people will promote catalytic change by becoming advocates for a shared future.</w:t>
      </w:r>
    </w:p>
    <w:p w14:paraId="2E652E75" w14:textId="6CE30726" w:rsidR="24944324" w:rsidRDefault="24944324" w:rsidP="00D570C5">
      <w:pPr>
        <w:jc w:val="both"/>
      </w:pPr>
    </w:p>
    <w:p w14:paraId="5F0578D2" w14:textId="4F7AFAC1" w:rsidR="024F8808" w:rsidRDefault="00C046AB" w:rsidP="00C046AB">
      <w:pPr>
        <w:jc w:val="both"/>
      </w:pPr>
      <w:r w:rsidRPr="00445359">
        <w:t xml:space="preserve">The project theory of change is, therefore, that </w:t>
      </w:r>
      <w:r w:rsidRPr="00445359">
        <w:rPr>
          <w:b/>
        </w:rPr>
        <w:t>if</w:t>
      </w:r>
      <w:r w:rsidRPr="00445359">
        <w:t xml:space="preserve"> young women and men can be brought together to work jointly on issues of shared concern and implement their efforts in cooperation with the institutions of service delivery, and </w:t>
      </w:r>
      <w:r w:rsidRPr="00445359">
        <w:rPr>
          <w:b/>
        </w:rPr>
        <w:t>if</w:t>
      </w:r>
      <w:r w:rsidRPr="00445359">
        <w:t xml:space="preserve"> their capacity and influence to be more active </w:t>
      </w:r>
      <w:r w:rsidR="0072786D">
        <w:t>changemakers</w:t>
      </w:r>
      <w:r w:rsidRPr="00445359">
        <w:t xml:space="preserve">, in particular that of young women, can be enhanced, </w:t>
      </w:r>
      <w:r w:rsidRPr="00445359">
        <w:rPr>
          <w:b/>
        </w:rPr>
        <w:t>then</w:t>
      </w:r>
      <w:r w:rsidRPr="00445359">
        <w:t xml:space="preserve"> persistent prejudices between communities and mistrust between communities and the institutions will be challenged and diminished by empirical observation, </w:t>
      </w:r>
      <w:r w:rsidRPr="00445359">
        <w:rPr>
          <w:b/>
        </w:rPr>
        <w:t>and</w:t>
      </w:r>
      <w:r w:rsidRPr="00445359">
        <w:t xml:space="preserve"> those young women and men will become effective advocates for a shared future.</w:t>
      </w:r>
    </w:p>
    <w:p w14:paraId="4ABF639E" w14:textId="77777777" w:rsidR="00BD40E0" w:rsidRDefault="00BD40E0" w:rsidP="00C046AB">
      <w:pPr>
        <w:jc w:val="both"/>
      </w:pPr>
    </w:p>
    <w:p w14:paraId="0064FC2E" w14:textId="77777777" w:rsidR="00F654FA" w:rsidRDefault="00F654FA" w:rsidP="00D570C5"/>
    <w:p w14:paraId="0E99706C" w14:textId="0A4DFCDC" w:rsidR="007C5B08" w:rsidRPr="00F8262A" w:rsidRDefault="007C5B08" w:rsidP="00EF1B08">
      <w:pPr>
        <w:numPr>
          <w:ilvl w:val="0"/>
          <w:numId w:val="6"/>
        </w:numPr>
        <w:rPr>
          <w:b/>
        </w:rPr>
      </w:pPr>
      <w:r w:rsidRPr="00F8262A">
        <w:rPr>
          <w:b/>
        </w:rPr>
        <w:t>Project management and coordination</w:t>
      </w:r>
      <w:r w:rsidR="009A1657" w:rsidRPr="00F8262A">
        <w:rPr>
          <w:b/>
        </w:rPr>
        <w:t xml:space="preserve"> (4</w:t>
      </w:r>
      <w:r w:rsidR="00582B0A" w:rsidRPr="00F8262A">
        <w:rPr>
          <w:b/>
        </w:rPr>
        <w:t xml:space="preserve"> pages max)</w:t>
      </w:r>
    </w:p>
    <w:p w14:paraId="2F7AA837" w14:textId="77777777" w:rsidR="007C5B08" w:rsidRPr="00E810B0" w:rsidRDefault="007C5B08" w:rsidP="00D570C5">
      <w:pPr>
        <w:rPr>
          <w:b/>
          <w:i/>
        </w:rPr>
      </w:pPr>
    </w:p>
    <w:p w14:paraId="66F6E368" w14:textId="79C737F6" w:rsidR="00803A9C" w:rsidRPr="00E810B0" w:rsidRDefault="00803A9C" w:rsidP="00E810B0">
      <w:pPr>
        <w:pStyle w:val="ListParagraph"/>
        <w:numPr>
          <w:ilvl w:val="0"/>
          <w:numId w:val="8"/>
        </w:numPr>
        <w:jc w:val="both"/>
        <w:rPr>
          <w:b/>
          <w:i/>
        </w:rPr>
      </w:pPr>
      <w:r w:rsidRPr="00E810B0">
        <w:rPr>
          <w:rFonts w:ascii="Times New Roman" w:hAnsi="Times New Roman"/>
          <w:b/>
          <w:bCs/>
          <w:i/>
          <w:sz w:val="24"/>
          <w:szCs w:val="24"/>
        </w:rPr>
        <w:t>Recipient organizations and implementing partners</w:t>
      </w:r>
      <w:r w:rsidRPr="00E810B0">
        <w:rPr>
          <w:rFonts w:ascii="Times New Roman" w:hAnsi="Times New Roman"/>
          <w:i/>
          <w:sz w:val="24"/>
          <w:szCs w:val="24"/>
        </w:rPr>
        <w:t xml:space="preserve"> – list direct recipient organizations and their implementing partners (international and local), specifying the Convening Organization, which will coordinate the project, and providing a brief justification for the choices, based on mandate, experience, local know-how and existing capacity.</w:t>
      </w:r>
    </w:p>
    <w:p w14:paraId="6ABADA11" w14:textId="1DB09FB5" w:rsidR="00B05D80" w:rsidRDefault="00B05D80" w:rsidP="00B05D80">
      <w:pPr>
        <w:rPr>
          <w:b/>
          <w:highlight w:val="cyan"/>
        </w:rPr>
      </w:pPr>
    </w:p>
    <w:p w14:paraId="4701ED90" w14:textId="26CEC90A" w:rsidR="00DB766D" w:rsidRDefault="00DB766D" w:rsidP="00B05D80">
      <w:pPr>
        <w:jc w:val="both"/>
      </w:pPr>
      <w:bookmarkStart w:id="4" w:name="_Hlk528851800"/>
      <w:r w:rsidRPr="00DB766D">
        <w:t xml:space="preserve">This 18-month intervention will be implemented with the joint participation and collaboration of </w:t>
      </w:r>
      <w:r w:rsidRPr="00DB766D">
        <w:rPr>
          <w:b/>
        </w:rPr>
        <w:t>UNDP-UNV, UNICEF and UN Women</w:t>
      </w:r>
      <w:r w:rsidRPr="00DB766D">
        <w:t xml:space="preserve"> within the platform of the UN Kosovo Team, the framework of the 2016-2020 UN Common Development Plan in Kosovo, and the UN Kosovo Trust-Building Framework, leveraging their respective expertise and mandates. In line with common UNKT and UNMIK priorities set out under the Integrated Strategic Framework in the areas of inter-community trust-building, women, peace and security and youth, UNMIK will be </w:t>
      </w:r>
      <w:r>
        <w:t xml:space="preserve">closely </w:t>
      </w:r>
      <w:r w:rsidRPr="00DB766D">
        <w:t xml:space="preserve">consulted throughout all stages of the implementation process </w:t>
      </w:r>
      <w:proofErr w:type="gramStart"/>
      <w:r w:rsidRPr="00DB766D">
        <w:t>in order to</w:t>
      </w:r>
      <w:proofErr w:type="gramEnd"/>
      <w:r w:rsidRPr="00DB766D">
        <w:t xml:space="preserve"> maximize synergies and ensure full complementarity. UNDP will function as the Convening Agency in this project.</w:t>
      </w:r>
    </w:p>
    <w:p w14:paraId="4256E7B6" w14:textId="77777777" w:rsidR="00B05D80" w:rsidRDefault="00B05D80" w:rsidP="00B05D80">
      <w:pPr>
        <w:jc w:val="both"/>
      </w:pPr>
    </w:p>
    <w:p w14:paraId="1B03F89A" w14:textId="0F302910" w:rsidR="00B05D80" w:rsidRDefault="00B05D80" w:rsidP="00B05D80">
      <w:pPr>
        <w:jc w:val="both"/>
      </w:pPr>
      <w:r>
        <w:t xml:space="preserve">On the ground in Kosovo since 1999, the </w:t>
      </w:r>
      <w:r w:rsidRPr="00F90356">
        <w:rPr>
          <w:b/>
        </w:rPr>
        <w:t xml:space="preserve">United Nations Development </w:t>
      </w:r>
      <w:proofErr w:type="spellStart"/>
      <w:r w:rsidRPr="00F90356">
        <w:rPr>
          <w:b/>
        </w:rPr>
        <w:t>Programme</w:t>
      </w:r>
      <w:proofErr w:type="spellEnd"/>
      <w:r>
        <w:rPr>
          <w:b/>
        </w:rPr>
        <w:t xml:space="preserve"> (UNDP)</w:t>
      </w:r>
      <w:r w:rsidRPr="00F90356">
        <w:rPr>
          <w:b/>
        </w:rPr>
        <w:t xml:space="preserve"> </w:t>
      </w:r>
      <w:r>
        <w:t>has earned a strong reputation as an inde</w:t>
      </w:r>
      <w:r w:rsidR="00654246">
        <w:t>p</w:t>
      </w:r>
      <w:r>
        <w:t xml:space="preserve">endent and experienced partner in the collective effort to rebuild and set Kosovo on a peaceful and prosperous trajectory, strengthen Kosovo institutions, and achieve sustainable and inclusive development. With presence in around </w:t>
      </w:r>
      <w:r w:rsidRPr="006B2CC0">
        <w:t>170 countries and territories</w:t>
      </w:r>
      <w:r>
        <w:t xml:space="preserve">, UNDP works globally to strengthen new frameworks and create innovative solutions for development, disaster risk reduction and climate change, leveraging best practice networks and innovative platforms. In support to Kosovo's efforts to achieve the Sustainable Development Goals, UNDP focuses on building, sharing, and scaling up solutions in three areas: Sustainable development, Democratic governance and peacebuilding, and Environment, climate and disaster resilience. Since 1999, UNDP has delivered over 250 million USD in assistance to the Kosovo people. During the initial post-conflict reconstruction, UNDP largely engaged in emergency reconstruction and rehabilitation, aiding the housing sector, and promoting rapid employment </w:t>
      </w:r>
      <w:r>
        <w:lastRenderedPageBreak/>
        <w:t xml:space="preserve">generation. Today, UNDP focuses on long-term development challenges in Kosovo, working through strategic partnerships and strong field presence to strengthen the rule of law, promote good governance and </w:t>
      </w:r>
      <w:r w:rsidRPr="006B2CC0">
        <w:t>efficiency of the central and local institutions</w:t>
      </w:r>
      <w:r>
        <w:t xml:space="preserve">, foster inclusive economic growth and reduce inequalities, enhance human security, and improve environmental sustainability. </w:t>
      </w:r>
    </w:p>
    <w:p w14:paraId="0264EA5D" w14:textId="77777777" w:rsidR="00B05D80" w:rsidRDefault="00B05D80" w:rsidP="00B05D80">
      <w:pPr>
        <w:jc w:val="both"/>
      </w:pPr>
    </w:p>
    <w:bookmarkEnd w:id="4"/>
    <w:p w14:paraId="747FB106" w14:textId="77777777" w:rsidR="00B05D80" w:rsidRDefault="00B05D80" w:rsidP="00B05D80">
      <w:pPr>
        <w:jc w:val="both"/>
      </w:pPr>
      <w:r>
        <w:t xml:space="preserve">The </w:t>
      </w:r>
      <w:r w:rsidRPr="00F90356">
        <w:rPr>
          <w:b/>
        </w:rPr>
        <w:t>United Nations Volunteers (UNV)</w:t>
      </w:r>
      <w:r>
        <w:t xml:space="preserve"> </w:t>
      </w:r>
      <w:proofErr w:type="spellStart"/>
      <w:r>
        <w:t>programme</w:t>
      </w:r>
      <w:proofErr w:type="spellEnd"/>
      <w:r>
        <w:t xml:space="preserve"> contributes to peace and development through volunteerism worldwide. UNV works with partners to integrate qualified, highly motivated and well supported UN Volunteers into peace and development programming and promote the value and global recognition of volunteerism. UNV works under a dual mandate – to mobilize volunteers for the United Nations System and to advocate for the importance of volunteerism in development worldwide. Since its establishment in 1999 in the immediate aftermath of the conflict and in line with its mandate, the UNV </w:t>
      </w:r>
      <w:proofErr w:type="spellStart"/>
      <w:r>
        <w:t>programme</w:t>
      </w:r>
      <w:proofErr w:type="spellEnd"/>
      <w:r>
        <w:t xml:space="preserve"> in Kosovo has mobilized the largest number of UN Volunteers in the region and has promoted volunteerism in Kosovo as a major form of civic engagement. UNV has established long standing partnerships with key stakeholders that support youth sector: Ministry of Culture, Youth and Sports, Kosovo Municipalities and Youth Organizations and Community Based Volunteer Involving Organizations and Academia. The UNV expertise will help improve public inclusion and participation in social, economic and political development, and support the growth of volunteerism within communities as a form of mutual self-help. Moreover, UN Volunteers that will be part of the intervention, will greatly facilitate the building of bridges between various groups by promoting dialogue and fostering situations of confidence and trust.</w:t>
      </w:r>
    </w:p>
    <w:p w14:paraId="61B718B5" w14:textId="77777777" w:rsidR="00B05D80" w:rsidRDefault="00B05D80" w:rsidP="00B05D80">
      <w:pPr>
        <w:jc w:val="both"/>
      </w:pPr>
    </w:p>
    <w:p w14:paraId="483BCD51" w14:textId="77777777" w:rsidR="00B05D80" w:rsidRPr="00260EAD" w:rsidRDefault="00B05D80" w:rsidP="00B05D80">
      <w:pPr>
        <w:ind w:right="-7"/>
        <w:jc w:val="both"/>
        <w:rPr>
          <w:rFonts w:eastAsiaTheme="minorEastAsia"/>
        </w:rPr>
      </w:pPr>
      <w:r w:rsidRPr="00260EAD">
        <w:rPr>
          <w:b/>
        </w:rPr>
        <w:t>UNICEF</w:t>
      </w:r>
      <w:r w:rsidRPr="00260EAD">
        <w:t xml:space="preserve"> is mandated by the United Nations General Assembly to advocate for the protection of children's rights, to help meet their basic needs and to expand their opportunities to reach their full potential. The United Nations Children's Fund (UNICEF) works in 190 cou</w:t>
      </w:r>
      <w:r w:rsidRPr="009820C5">
        <w:t xml:space="preserve">ntries through country programs and UNICEF national committees. </w:t>
      </w:r>
      <w:r w:rsidRPr="00611114">
        <w:t>UNICEF works with children and adolescents, which are the most excluded from participat</w:t>
      </w:r>
      <w:r>
        <w:t>ion mechanisms and has program</w:t>
      </w:r>
      <w:r w:rsidRPr="00611114">
        <w:t>s and technical assistance to address these barriers. The interventions</w:t>
      </w:r>
      <w:r>
        <w:t xml:space="preserve"> developed through this project</w:t>
      </w:r>
      <w:r w:rsidRPr="00611114">
        <w:t xml:space="preserve"> will be designed taking into consideration the wealth of knowledge coming from UNICEF experience working in </w:t>
      </w:r>
      <w:r>
        <w:t>peacebuilding</w:t>
      </w:r>
      <w:r w:rsidRPr="00611114">
        <w:t xml:space="preserve"> initiatives and new methodologies used successfully from UNICEF in the region such as UPSHIFT</w:t>
      </w:r>
      <w:r>
        <w:t xml:space="preserve"> </w:t>
      </w:r>
      <w:r w:rsidRPr="00611114">
        <w:t>(used to promote youth in identification of problems in their communities, schools</w:t>
      </w:r>
      <w:r>
        <w:t>,</w:t>
      </w:r>
      <w:r w:rsidRPr="00611114">
        <w:t xml:space="preserve"> etc</w:t>
      </w:r>
      <w:r>
        <w:t>.) teach</w:t>
      </w:r>
      <w:r w:rsidRPr="00611114">
        <w:t xml:space="preserve"> them in creating solutions and be capable of modelling and delivering products and services to address these issues</w:t>
      </w:r>
      <w:r>
        <w:t xml:space="preserve">; </w:t>
      </w:r>
      <w:r w:rsidRPr="00B970F8">
        <w:t>PONDER</w:t>
      </w:r>
      <w:r>
        <w:t xml:space="preserve"> (used to</w:t>
      </w:r>
      <w:r w:rsidRPr="00B970F8">
        <w:t xml:space="preserve"> equip young girls and boys with much-needed critical thinking skills to understand and filter the messages in mass/social media</w:t>
      </w:r>
      <w:r>
        <w:t>); PODIUM (used to train</w:t>
      </w:r>
      <w:r w:rsidRPr="002603F9">
        <w:t xml:space="preserve"> youth and adolescents to confront the challenges they face in their communities and gain public support for their causes – helping them understand their role being resilient in social change by building their skills and confidence to advocate and build sustainable and peaceful livelihoods</w:t>
      </w:r>
      <w:r>
        <w:t xml:space="preserve">) </w:t>
      </w:r>
      <w:r w:rsidRPr="00611114">
        <w:t xml:space="preserve">and U-report </w:t>
      </w:r>
      <w:r>
        <w:t xml:space="preserve">used to promote </w:t>
      </w:r>
      <w:r w:rsidRPr="00611114">
        <w:t>youth participation.</w:t>
      </w:r>
      <w:r>
        <w:t xml:space="preserve"> Implementing partners will include NGOs such as Peer Educators Network, Kosovo Education Centre, Kosovo Caritas, </w:t>
      </w:r>
      <w:proofErr w:type="spellStart"/>
      <w:r>
        <w:t>Domovik</w:t>
      </w:r>
      <w:proofErr w:type="spellEnd"/>
      <w:r>
        <w:t>, IPKO Foundation.</w:t>
      </w:r>
    </w:p>
    <w:p w14:paraId="3940760A" w14:textId="77777777" w:rsidR="00B05D80" w:rsidRDefault="00B05D80" w:rsidP="00B05D80">
      <w:pPr>
        <w:jc w:val="both"/>
      </w:pPr>
    </w:p>
    <w:p w14:paraId="1BEBA392" w14:textId="34A68E7A" w:rsidR="00B05D80" w:rsidRPr="00C26941" w:rsidRDefault="00C26941" w:rsidP="00C26941">
      <w:pPr>
        <w:jc w:val="both"/>
      </w:pPr>
      <w:r w:rsidRPr="00C26941">
        <w:t xml:space="preserve">Established in 2010 after merging the mandates of four previously distinct entities, </w:t>
      </w:r>
      <w:r w:rsidRPr="00C26941">
        <w:rPr>
          <w:b/>
        </w:rPr>
        <w:t>UN Women</w:t>
      </w:r>
      <w:r w:rsidRPr="00C26941">
        <w:t xml:space="preserve"> is mandated to support inter-governmental bodies in their formulation of policies, global standards and norms; to help in implementing these standards, standing ready to provide suitable technical and financial support to those countries that request it, and to forge effective partnerships with civil society; and to lead and coordinate the UN system’s work on gender equality. UN Women, among other issues, works for the: a) elimination of discrimination against women and girls; b) empowerment of women; and c) achievement of equality between women and men as partners and beneficiaries of development, human rights, humanitarian action and peace and security. UN Women has been working in Kosovo since 1999 (then UNIFEM). Activities in Kosovo focus on supporting the implementation of UN Security Council Resolution 1325 through developing and </w:t>
      </w:r>
      <w:r w:rsidRPr="00C26941">
        <w:lastRenderedPageBreak/>
        <w:t>strengthening institutional and civil society capacities to implement and monitor commitments under UNSCR 1325 and on Ending Violence against Women. UN Women supports local partners’ efforts that focus on increasing women’s participation in decision-making, promoting the use of gender perspectives in policy development, strengthening the protection of women affected by conflict, reinforcing the capacities at local and central levels to counter gender-based and domestic violence, amplifying calls for accountability and advancing the status of women in post-conflict settings.</w:t>
      </w:r>
    </w:p>
    <w:p w14:paraId="36B79897" w14:textId="77777777" w:rsidR="00C26941" w:rsidRPr="00B05D80" w:rsidRDefault="00C26941" w:rsidP="00C26941">
      <w:pPr>
        <w:rPr>
          <w:b/>
          <w:highlight w:val="cyan"/>
        </w:rPr>
      </w:pPr>
    </w:p>
    <w:p w14:paraId="287EF010" w14:textId="77777777" w:rsidR="00803A9C" w:rsidRPr="004F164B" w:rsidRDefault="00803A9C" w:rsidP="00D570C5">
      <w:pPr>
        <w:pStyle w:val="ListParagraph"/>
        <w:rPr>
          <w:b/>
          <w:highlight w:val="cyan"/>
        </w:rPr>
      </w:pPr>
    </w:p>
    <w:p w14:paraId="28CC6324" w14:textId="249F6D16" w:rsidR="00803A9C" w:rsidRPr="00E810B0" w:rsidRDefault="00803A9C" w:rsidP="00E810B0">
      <w:pPr>
        <w:pStyle w:val="ListParagraph"/>
        <w:numPr>
          <w:ilvl w:val="0"/>
          <w:numId w:val="8"/>
        </w:numPr>
        <w:jc w:val="both"/>
        <w:rPr>
          <w:rFonts w:ascii="Times New Roman" w:hAnsi="Times New Roman"/>
          <w:i/>
          <w:sz w:val="24"/>
          <w:szCs w:val="24"/>
        </w:rPr>
      </w:pPr>
      <w:r w:rsidRPr="00E810B0">
        <w:rPr>
          <w:rFonts w:ascii="Times New Roman" w:hAnsi="Times New Roman"/>
          <w:b/>
          <w:bCs/>
          <w:i/>
          <w:sz w:val="24"/>
          <w:szCs w:val="24"/>
        </w:rPr>
        <w:t>Project management and coordination</w:t>
      </w:r>
      <w:r w:rsidRPr="00E810B0">
        <w:rPr>
          <w:rFonts w:ascii="Times New Roman" w:hAnsi="Times New Roman"/>
          <w:i/>
          <w:sz w:val="24"/>
          <w:szCs w:val="24"/>
        </w:rPr>
        <w:t xml:space="preserve"> – present the project implementation team, including positions and roles and explanation of which positions are to be funded by the project (to which percentage). Explain project coordination and oversight arrangements. Fill out project implementation readiness checklist in </w:t>
      </w:r>
      <w:r w:rsidRPr="00E810B0">
        <w:rPr>
          <w:rFonts w:ascii="Times New Roman" w:hAnsi="Times New Roman"/>
          <w:b/>
          <w:bCs/>
          <w:i/>
          <w:sz w:val="24"/>
          <w:szCs w:val="24"/>
        </w:rPr>
        <w:t>Annex C</w:t>
      </w:r>
      <w:r w:rsidRPr="00E810B0">
        <w:rPr>
          <w:rFonts w:ascii="Times New Roman" w:hAnsi="Times New Roman"/>
          <w:i/>
          <w:sz w:val="24"/>
          <w:szCs w:val="24"/>
        </w:rPr>
        <w:t>.</w:t>
      </w:r>
    </w:p>
    <w:p w14:paraId="13289998" w14:textId="133AAE49" w:rsidR="00B05D80" w:rsidRDefault="00B05D80" w:rsidP="00B05D80">
      <w:pPr>
        <w:rPr>
          <w:highlight w:val="cyan"/>
        </w:rPr>
      </w:pPr>
    </w:p>
    <w:p w14:paraId="32615EDD" w14:textId="77777777" w:rsidR="00B05D80" w:rsidRDefault="00B05D80" w:rsidP="00B05D80">
      <w:pPr>
        <w:jc w:val="both"/>
      </w:pPr>
      <w:r w:rsidRPr="00F64B00">
        <w:t xml:space="preserve">UNDP will function as the </w:t>
      </w:r>
      <w:r w:rsidRPr="00F90356">
        <w:rPr>
          <w:b/>
        </w:rPr>
        <w:t>Convening Agency</w:t>
      </w:r>
      <w:r w:rsidRPr="00F64B00">
        <w:t xml:space="preserve"> </w:t>
      </w:r>
      <w:r>
        <w:t>in this project and will be</w:t>
      </w:r>
      <w:r w:rsidRPr="00F64B00">
        <w:t xml:space="preserve"> responsible for the strategic and programmatic leadership of the Joint Project and ensuring cohesive and coordinated approach of the participating UN </w:t>
      </w:r>
      <w:r>
        <w:t>A</w:t>
      </w:r>
      <w:r w:rsidRPr="00F64B00">
        <w:t xml:space="preserve">gencies. The </w:t>
      </w:r>
      <w:r>
        <w:t>C</w:t>
      </w:r>
      <w:r w:rsidRPr="00F64B00">
        <w:t xml:space="preserve">onvening </w:t>
      </w:r>
      <w:r>
        <w:t>A</w:t>
      </w:r>
      <w:r w:rsidRPr="00F64B00">
        <w:t xml:space="preserve">gency in partnership with the other participating UN </w:t>
      </w:r>
      <w:r>
        <w:t>A</w:t>
      </w:r>
      <w:r w:rsidRPr="00F64B00">
        <w:t xml:space="preserve">gencies will be responsible and accountable to the Joint Project Steering Committee for delivery and results of the Joint Project. Each participating UN </w:t>
      </w:r>
      <w:r>
        <w:t>A</w:t>
      </w:r>
      <w:r w:rsidRPr="00F64B00">
        <w:t xml:space="preserve">gency has programmatic and financial responsibility for the funds disbursed to it.  </w:t>
      </w:r>
    </w:p>
    <w:p w14:paraId="5C810266" w14:textId="77777777" w:rsidR="00B05D80" w:rsidRDefault="00B05D80" w:rsidP="00B05D80">
      <w:pPr>
        <w:jc w:val="both"/>
      </w:pPr>
    </w:p>
    <w:p w14:paraId="5C45F325" w14:textId="144B2961" w:rsidR="00B05D80" w:rsidRDefault="00B05D80" w:rsidP="00B05D80">
      <w:pPr>
        <w:jc w:val="both"/>
      </w:pPr>
      <w:r w:rsidRPr="00611114">
        <w:t xml:space="preserve">The </w:t>
      </w:r>
      <w:r w:rsidRPr="00F90356">
        <w:rPr>
          <w:b/>
        </w:rPr>
        <w:t>Joint Project Steering Committee</w:t>
      </w:r>
      <w:r w:rsidRPr="00611114">
        <w:t xml:space="preserve"> will provide strategic direction and oversight</w:t>
      </w:r>
      <w:r>
        <w:t xml:space="preserve"> over the project</w:t>
      </w:r>
      <w:r w:rsidRPr="00611114">
        <w:t xml:space="preserve"> and will have</w:t>
      </w:r>
      <w:r>
        <w:t xml:space="preserve"> </w:t>
      </w:r>
      <w:r w:rsidRPr="00611114">
        <w:t xml:space="preserve">decision-making authority. The Steering Committee will be chaired by the UN </w:t>
      </w:r>
      <w:r>
        <w:t>Development</w:t>
      </w:r>
      <w:r w:rsidRPr="00611114">
        <w:t xml:space="preserve"> Coordinator </w:t>
      </w:r>
      <w:r>
        <w:t>in Kosovo and</w:t>
      </w:r>
      <w:r w:rsidRPr="00611114">
        <w:t xml:space="preserve"> composed of Heads of </w:t>
      </w:r>
      <w:r>
        <w:t xml:space="preserve">participating </w:t>
      </w:r>
      <w:r w:rsidRPr="00611114">
        <w:t>UN Agencies (UNDP</w:t>
      </w:r>
      <w:r>
        <w:t>/UNV</w:t>
      </w:r>
      <w:r w:rsidRPr="00611114">
        <w:t xml:space="preserve">, UNICEF, </w:t>
      </w:r>
      <w:r>
        <w:t>UN Women</w:t>
      </w:r>
      <w:r w:rsidRPr="00611114">
        <w:t>)</w:t>
      </w:r>
      <w:r>
        <w:t xml:space="preserve"> or their designated representatives</w:t>
      </w:r>
      <w:r w:rsidR="00175FDB">
        <w:t xml:space="preserve">, and representatives of </w:t>
      </w:r>
      <w:r w:rsidR="00715481">
        <w:t xml:space="preserve">Kosovo </w:t>
      </w:r>
      <w:r w:rsidR="00175FDB">
        <w:t>institutions</w:t>
      </w:r>
      <w:r w:rsidR="00986616">
        <w:t xml:space="preserve"> and youth</w:t>
      </w:r>
      <w:r w:rsidRPr="00611114">
        <w:t>.</w:t>
      </w:r>
      <w:r w:rsidR="00DB766D">
        <w:t xml:space="preserve"> </w:t>
      </w:r>
      <w:r w:rsidR="00DB766D" w:rsidRPr="00DB766D">
        <w:t xml:space="preserve">UNMIK will </w:t>
      </w:r>
      <w:r w:rsidR="00DB766D">
        <w:t xml:space="preserve">be invited to </w:t>
      </w:r>
      <w:r w:rsidR="00DB766D" w:rsidRPr="00DB766D">
        <w:t>participate in the Joint Project Steering Committee meetings as an observer, under the umbrella of UN Development Coordinator</w:t>
      </w:r>
      <w:r w:rsidR="00DB766D">
        <w:t>’s</w:t>
      </w:r>
      <w:r w:rsidR="00DB766D" w:rsidRPr="00DB766D">
        <w:t xml:space="preserve"> Office.</w:t>
      </w:r>
      <w:r w:rsidRPr="00611114">
        <w:t xml:space="preserve"> The JP SC will meet for the first time after one month of JP inception to adopt </w:t>
      </w:r>
      <w:r w:rsidR="00450C15">
        <w:t xml:space="preserve">its </w:t>
      </w:r>
      <w:r w:rsidRPr="00611114">
        <w:t>terms of reference</w:t>
      </w:r>
      <w:r w:rsidR="00A91F42">
        <w:t>, the first annual work plan,</w:t>
      </w:r>
      <w:r w:rsidRPr="00611114">
        <w:t xml:space="preserve"> and agree on how often the SC will be meeting</w:t>
      </w:r>
      <w:r w:rsidR="005B0F15">
        <w:t>, but not less than twice a year</w:t>
      </w:r>
      <w:r w:rsidRPr="00611114">
        <w:t xml:space="preserve">. </w:t>
      </w:r>
    </w:p>
    <w:p w14:paraId="028DC875" w14:textId="77777777" w:rsidR="00B05D80" w:rsidRDefault="00B05D80" w:rsidP="00B05D80">
      <w:pPr>
        <w:jc w:val="both"/>
      </w:pPr>
    </w:p>
    <w:p w14:paraId="504C0DB1" w14:textId="73A1CC03" w:rsidR="004763C1" w:rsidRDefault="00B05D80" w:rsidP="00B05D80">
      <w:pPr>
        <w:jc w:val="both"/>
      </w:pPr>
      <w:r w:rsidRPr="000946EB">
        <w:t xml:space="preserve">The </w:t>
      </w:r>
      <w:r w:rsidRPr="00EB3037">
        <w:t xml:space="preserve">Steering Committee </w:t>
      </w:r>
      <w:r w:rsidRPr="000946EB">
        <w:t xml:space="preserve">will be the main decision-making authority of the joint </w:t>
      </w:r>
      <w:r>
        <w:t>project</w:t>
      </w:r>
      <w:r w:rsidRPr="000946EB">
        <w:t xml:space="preserve"> and will be responsible for the strategic oversight of the overall implementatio</w:t>
      </w:r>
      <w:r>
        <w:t xml:space="preserve">n and interagency coordination. The </w:t>
      </w:r>
      <w:r w:rsidRPr="00EB3037">
        <w:t xml:space="preserve">Steering Committee </w:t>
      </w:r>
      <w:r>
        <w:t>gives guidance to J</w:t>
      </w:r>
      <w:r w:rsidRPr="000946EB">
        <w:t xml:space="preserve">oint </w:t>
      </w:r>
      <w:r>
        <w:t>Project</w:t>
      </w:r>
      <w:r w:rsidR="009B0A27">
        <w:t xml:space="preserve"> Coordination</w:t>
      </w:r>
      <w:r w:rsidRPr="000946EB">
        <w:t xml:space="preserve"> </w:t>
      </w:r>
      <w:r>
        <w:t>T</w:t>
      </w:r>
      <w:r w:rsidRPr="000946EB">
        <w:t xml:space="preserve">eam </w:t>
      </w:r>
      <w:r>
        <w:t xml:space="preserve">led by </w:t>
      </w:r>
      <w:r w:rsidRPr="000946EB">
        <w:t xml:space="preserve">the </w:t>
      </w:r>
      <w:r>
        <w:t xml:space="preserve">Joint Project </w:t>
      </w:r>
      <w:r w:rsidRPr="000946EB">
        <w:t xml:space="preserve">Coordinator and will be responsible for the resolution of the implementation issues, if </w:t>
      </w:r>
      <w:r>
        <w:t xml:space="preserve">and where </w:t>
      </w:r>
      <w:r w:rsidRPr="000946EB">
        <w:t xml:space="preserve">required. The </w:t>
      </w:r>
      <w:r w:rsidRPr="00EB3037">
        <w:t>Steering Committee</w:t>
      </w:r>
      <w:r w:rsidRPr="000946EB">
        <w:t xml:space="preserve"> also reviews and endorses the annual work plans, reviews implementation progress and annual reports. The Board approves any substantial changes in the budgets or activities.</w:t>
      </w:r>
    </w:p>
    <w:p w14:paraId="211C92F8" w14:textId="77777777" w:rsidR="00A06F17" w:rsidRDefault="00A06F17" w:rsidP="00B05D80">
      <w:pPr>
        <w:jc w:val="both"/>
      </w:pPr>
    </w:p>
    <w:p w14:paraId="5865804C" w14:textId="77777777" w:rsidR="00B05D80" w:rsidRDefault="00B05D80" w:rsidP="00B05D80">
      <w:pPr>
        <w:jc w:val="center"/>
      </w:pPr>
    </w:p>
    <w:p w14:paraId="62FDB884" w14:textId="4AB44C64" w:rsidR="00B05D80" w:rsidRPr="00611114" w:rsidRDefault="00CD3C6D" w:rsidP="00B05D80">
      <w:pPr>
        <w:jc w:val="center"/>
      </w:pPr>
      <w:r>
        <w:rPr>
          <w:noProof/>
        </w:rPr>
        <w:lastRenderedPageBreak/>
        <w:drawing>
          <wp:inline distT="0" distB="0" distL="0" distR="0" wp14:anchorId="4CC79A4A" wp14:editId="43ABA27F">
            <wp:extent cx="4253059" cy="2580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253059" cy="2580055"/>
                    </a:xfrm>
                    <a:prstGeom prst="rect">
                      <a:avLst/>
                    </a:prstGeom>
                    <a:noFill/>
                    <a:ln>
                      <a:noFill/>
                    </a:ln>
                  </pic:spPr>
                </pic:pic>
              </a:graphicData>
            </a:graphic>
          </wp:inline>
        </w:drawing>
      </w:r>
    </w:p>
    <w:p w14:paraId="3A9C94EB" w14:textId="41652147" w:rsidR="00B05D80" w:rsidRDefault="00B05D80" w:rsidP="00B05D80">
      <w:pPr>
        <w:jc w:val="both"/>
      </w:pPr>
    </w:p>
    <w:p w14:paraId="0EFAF1A8" w14:textId="77777777" w:rsidR="00863B6C" w:rsidRDefault="00863B6C" w:rsidP="00B05D80">
      <w:pPr>
        <w:jc w:val="both"/>
        <w:rPr>
          <w:highlight w:val="yellow"/>
        </w:rPr>
      </w:pPr>
    </w:p>
    <w:p w14:paraId="5FBA7130" w14:textId="47A45778" w:rsidR="004763C1" w:rsidRDefault="004763C1" w:rsidP="00B05D80">
      <w:pPr>
        <w:jc w:val="both"/>
      </w:pPr>
      <w:r w:rsidRPr="00353B8E">
        <w:t xml:space="preserve">The project will also establish a </w:t>
      </w:r>
      <w:r w:rsidRPr="00353B8E">
        <w:rPr>
          <w:b/>
        </w:rPr>
        <w:t>Stakeholder Platform</w:t>
      </w:r>
      <w:r w:rsidRPr="00353B8E">
        <w:t xml:space="preserve"> as a coordination, knowledge management</w:t>
      </w:r>
      <w:r w:rsidR="004F58BB" w:rsidRPr="00353B8E">
        <w:t xml:space="preserve"> and exchange</w:t>
      </w:r>
      <w:r w:rsidRPr="00353B8E">
        <w:t>, advocacy</w:t>
      </w:r>
      <w:r w:rsidR="00AE2B12">
        <w:t>, and scal</w:t>
      </w:r>
      <w:r w:rsidR="00D129E7">
        <w:t>e</w:t>
      </w:r>
      <w:r w:rsidR="00AE2B12">
        <w:t>-up</w:t>
      </w:r>
      <w:r w:rsidRPr="00353B8E">
        <w:t xml:space="preserve"> mechanism. This</w:t>
      </w:r>
      <w:r w:rsidR="004F58BB" w:rsidRPr="00353B8E">
        <w:t xml:space="preserve"> open</w:t>
      </w:r>
      <w:r w:rsidRPr="00353B8E">
        <w:t xml:space="preserve"> Platform will be composed of </w:t>
      </w:r>
      <w:r w:rsidR="004F58BB" w:rsidRPr="00353B8E">
        <w:t xml:space="preserve">key representatives of relevant central </w:t>
      </w:r>
      <w:r w:rsidR="00BB27F9" w:rsidRPr="00353B8E">
        <w:t xml:space="preserve">level </w:t>
      </w:r>
      <w:r w:rsidR="004F58BB" w:rsidRPr="00353B8E">
        <w:t xml:space="preserve">and local level institutions from the partner localities, civil society, </w:t>
      </w:r>
      <w:r w:rsidR="00FA75B6">
        <w:t>youth representatives from partner municipalities,</w:t>
      </w:r>
      <w:r w:rsidR="00524A0F">
        <w:t xml:space="preserve"> UNMIK, </w:t>
      </w:r>
      <w:r w:rsidR="00D20739">
        <w:t xml:space="preserve">other </w:t>
      </w:r>
      <w:r w:rsidR="004F58BB" w:rsidRPr="00353B8E">
        <w:t>international organizations, and academia.</w:t>
      </w:r>
      <w:r w:rsidR="004F58BB">
        <w:t xml:space="preserve"> </w:t>
      </w:r>
      <w:r w:rsidR="00886422">
        <w:t xml:space="preserve">The platform will provide space for coordination with other activities on the ground, such as RYCO </w:t>
      </w:r>
      <w:r w:rsidR="00831C02">
        <w:t xml:space="preserve">(regional PBF-funded) </w:t>
      </w:r>
      <w:r w:rsidR="00886422">
        <w:t xml:space="preserve">and UNMIK-led </w:t>
      </w:r>
      <w:r w:rsidR="00831C02">
        <w:t>activities</w:t>
      </w:r>
      <w:r w:rsidR="00886422">
        <w:t xml:space="preserve">, to maximize synergies and minimize overlap. </w:t>
      </w:r>
    </w:p>
    <w:p w14:paraId="6721B399" w14:textId="12F3F2FD" w:rsidR="00986616" w:rsidRDefault="00986616" w:rsidP="00B05D80">
      <w:pPr>
        <w:jc w:val="both"/>
      </w:pPr>
    </w:p>
    <w:p w14:paraId="33BD97CC" w14:textId="30F5B85E" w:rsidR="00986616" w:rsidRDefault="00986616" w:rsidP="00B05D80">
      <w:pPr>
        <w:jc w:val="both"/>
      </w:pPr>
      <w:r>
        <w:t xml:space="preserve">The project will </w:t>
      </w:r>
      <w:r w:rsidR="00AC0904">
        <w:t>benefit from an</w:t>
      </w:r>
      <w:r>
        <w:t xml:space="preserve"> </w:t>
      </w:r>
      <w:r w:rsidRPr="00A06F17">
        <w:rPr>
          <w:b/>
        </w:rPr>
        <w:t>inception period</w:t>
      </w:r>
      <w:r>
        <w:t xml:space="preserve"> at the onset, during which the project will u</w:t>
      </w:r>
      <w:r w:rsidRPr="00986616">
        <w:t>ndertake a</w:t>
      </w:r>
      <w:r w:rsidR="00831C02">
        <w:t xml:space="preserve">n external, as well as a UN-internal </w:t>
      </w:r>
      <w:r w:rsidRPr="00986616">
        <w:t xml:space="preserve">validation </w:t>
      </w:r>
      <w:r w:rsidR="00831C02">
        <w:t xml:space="preserve">exercise, with </w:t>
      </w:r>
      <w:r w:rsidR="003D062D">
        <w:t xml:space="preserve">refinement </w:t>
      </w:r>
      <w:r w:rsidR="00831C02" w:rsidRPr="00986616">
        <w:t>of its targeting and approach</w:t>
      </w:r>
      <w:r w:rsidR="00831C02">
        <w:t xml:space="preserve"> </w:t>
      </w:r>
      <w:r w:rsidR="003D062D">
        <w:t xml:space="preserve">where required </w:t>
      </w:r>
      <w:r w:rsidR="00AC0904">
        <w:t>through a consultative process and validation workshop</w:t>
      </w:r>
      <w:r w:rsidR="00831C02">
        <w:t>s</w:t>
      </w:r>
      <w:r w:rsidR="00AC0904">
        <w:t xml:space="preserve"> with key stakeholders, utilizing also </w:t>
      </w:r>
      <w:r>
        <w:t xml:space="preserve">the </w:t>
      </w:r>
      <w:r w:rsidR="00E35115">
        <w:t xml:space="preserve">findings of the </w:t>
      </w:r>
      <w:r>
        <w:t xml:space="preserve">UNDP &amp; </w:t>
      </w:r>
      <w:proofErr w:type="spellStart"/>
      <w:r>
        <w:t>Folke</w:t>
      </w:r>
      <w:proofErr w:type="spellEnd"/>
      <w:r>
        <w:t xml:space="preserve"> Bernadotte Academy-led </w:t>
      </w:r>
      <w:r w:rsidRPr="00986616">
        <w:t>conflict</w:t>
      </w:r>
      <w:r>
        <w:t>/social cohesion</w:t>
      </w:r>
      <w:r w:rsidRPr="00986616">
        <w:t xml:space="preserve"> analysis</w:t>
      </w:r>
      <w:r w:rsidR="00AC0904">
        <w:t xml:space="preserve"> that will be finalized in early 2019</w:t>
      </w:r>
      <w:r>
        <w:t>.</w:t>
      </w:r>
      <w:r w:rsidR="00AC0904">
        <w:t xml:space="preserve"> </w:t>
      </w:r>
    </w:p>
    <w:p w14:paraId="2BCF0E52" w14:textId="77777777" w:rsidR="004763C1" w:rsidRDefault="004763C1" w:rsidP="00B05D80">
      <w:pPr>
        <w:jc w:val="both"/>
      </w:pPr>
    </w:p>
    <w:p w14:paraId="2409C39B" w14:textId="6463F98C" w:rsidR="00B05D80" w:rsidRDefault="00B05D80" w:rsidP="00B05D80">
      <w:pPr>
        <w:jc w:val="both"/>
      </w:pPr>
      <w:r w:rsidRPr="00611114">
        <w:t xml:space="preserve">The </w:t>
      </w:r>
      <w:r w:rsidRPr="00F90356">
        <w:rPr>
          <w:b/>
        </w:rPr>
        <w:t xml:space="preserve">Joint Project </w:t>
      </w:r>
      <w:r w:rsidR="0063372E">
        <w:rPr>
          <w:b/>
        </w:rPr>
        <w:t xml:space="preserve">Coordination </w:t>
      </w:r>
      <w:r w:rsidRPr="00F90356">
        <w:rPr>
          <w:b/>
        </w:rPr>
        <w:t>Team</w:t>
      </w:r>
      <w:r w:rsidRPr="00611114">
        <w:t xml:space="preserve">, </w:t>
      </w:r>
      <w:r>
        <w:t>composed of a locally-recruited Joint Project Coordinator, international Chief Technical Adviser, and locally-hired Joint Project Associate, will be jointly selected by participating UN Agencies, and will be recruited and administered</w:t>
      </w:r>
      <w:r w:rsidRPr="00611114">
        <w:t xml:space="preserve"> by the Convening Agency</w:t>
      </w:r>
      <w:r>
        <w:t xml:space="preserve"> (UNDP)</w:t>
      </w:r>
      <w:r w:rsidR="003E1400">
        <w:t xml:space="preserve"> and 100% funded by the project</w:t>
      </w:r>
      <w:r>
        <w:t xml:space="preserve">. </w:t>
      </w:r>
      <w:r w:rsidR="00886422">
        <w:t xml:space="preserve">The Terms of Reference for these posts will be developed </w:t>
      </w:r>
      <w:r w:rsidR="003D062D">
        <w:t xml:space="preserve">jointly </w:t>
      </w:r>
      <w:r w:rsidR="00886422">
        <w:t xml:space="preserve">by the </w:t>
      </w:r>
      <w:r w:rsidR="00831C02">
        <w:t>implementing</w:t>
      </w:r>
      <w:r w:rsidR="00886422">
        <w:t xml:space="preserve"> Agencies</w:t>
      </w:r>
      <w:r w:rsidR="00ED004D">
        <w:t xml:space="preserve">. They will also be </w:t>
      </w:r>
      <w:r w:rsidR="00886422">
        <w:t>shared with the PBSO and UNMIK to ensure coordination and complementarity within the UN expertise (</w:t>
      </w:r>
      <w:r w:rsidR="00886422" w:rsidRPr="00886422">
        <w:t xml:space="preserve">such as </w:t>
      </w:r>
      <w:r w:rsidR="00E35115">
        <w:t xml:space="preserve">with </w:t>
      </w:r>
      <w:r w:rsidR="00886422" w:rsidRPr="00886422">
        <w:t>UNMIK’s youth focal points</w:t>
      </w:r>
      <w:r w:rsidR="00886422">
        <w:t>, UNMIK Gender Advisor,</w:t>
      </w:r>
      <w:r w:rsidR="00886422" w:rsidRPr="00886422">
        <w:t xml:space="preserve"> and </w:t>
      </w:r>
      <w:r w:rsidR="00886422">
        <w:t xml:space="preserve">the </w:t>
      </w:r>
      <w:proofErr w:type="spellStart"/>
      <w:r w:rsidR="00886422" w:rsidRPr="00886422">
        <w:t>Mitrovic</w:t>
      </w:r>
      <w:r w:rsidR="00886422">
        <w:t>ë</w:t>
      </w:r>
      <w:proofErr w:type="spellEnd"/>
      <w:r w:rsidR="00886422">
        <w:t>/</w:t>
      </w:r>
      <w:r w:rsidR="00886422" w:rsidRPr="00886422">
        <w:t>a Regional Office)</w:t>
      </w:r>
      <w:r w:rsidR="00886422">
        <w:t xml:space="preserve">. </w:t>
      </w:r>
      <w:r>
        <w:t xml:space="preserve">The team will work closely with all </w:t>
      </w:r>
      <w:r w:rsidR="00831C02">
        <w:t xml:space="preserve">implementing </w:t>
      </w:r>
      <w:r>
        <w:t>UN Agencies</w:t>
      </w:r>
      <w:r w:rsidR="00831C02">
        <w:t>, UNKT (such as UNHCR, OHCHR), UNMIK,</w:t>
      </w:r>
      <w:r>
        <w:t xml:space="preserve"> and</w:t>
      </w:r>
      <w:r w:rsidR="00831C02">
        <w:t xml:space="preserve"> other</w:t>
      </w:r>
      <w:r>
        <w:t xml:space="preserve"> partners to the project. </w:t>
      </w:r>
    </w:p>
    <w:p w14:paraId="25A1C8AF" w14:textId="77777777" w:rsidR="00B05D80" w:rsidRDefault="00B05D80" w:rsidP="00B05D80">
      <w:pPr>
        <w:jc w:val="both"/>
      </w:pPr>
    </w:p>
    <w:p w14:paraId="4A9C9DF7" w14:textId="77777777" w:rsidR="00B05D80" w:rsidRDefault="00B05D80" w:rsidP="00B05D80">
      <w:pPr>
        <w:jc w:val="both"/>
      </w:pPr>
      <w:r w:rsidRPr="00611114">
        <w:t xml:space="preserve">The </w:t>
      </w:r>
      <w:r w:rsidRPr="00F90356">
        <w:rPr>
          <w:b/>
        </w:rPr>
        <w:t>Joint Project Coordinator</w:t>
      </w:r>
      <w:r w:rsidRPr="00611114">
        <w:t xml:space="preserve"> will be responsible for day-to-day project implementation and coordination of activities, ensuring implementation of activities are not only undertaken </w:t>
      </w:r>
      <w:r>
        <w:t>in line with</w:t>
      </w:r>
      <w:r w:rsidRPr="00611114">
        <w:t xml:space="preserve"> the implementation </w:t>
      </w:r>
      <w:r>
        <w:t xml:space="preserve">plan, but also embed due social and </w:t>
      </w:r>
      <w:r w:rsidRPr="00611114">
        <w:t>gender considerations</w:t>
      </w:r>
      <w:r>
        <w:t>, and find and leverage synergies with other interventions where possible</w:t>
      </w:r>
      <w:r w:rsidRPr="00611114">
        <w:t>. In cooperation with</w:t>
      </w:r>
      <w:r>
        <w:t xml:space="preserve"> the participating</w:t>
      </w:r>
      <w:r w:rsidRPr="00611114">
        <w:t xml:space="preserve"> UN Agencies</w:t>
      </w:r>
      <w:r>
        <w:t>, he/she</w:t>
      </w:r>
      <w:r w:rsidRPr="00611114">
        <w:t xml:space="preserve"> will ensure stakeholder coordination within the project as well as within the project </w:t>
      </w:r>
      <w:r>
        <w:t xml:space="preserve">context </w:t>
      </w:r>
      <w:r w:rsidRPr="00611114">
        <w:t>areas</w:t>
      </w:r>
      <w:r>
        <w:t>,</w:t>
      </w:r>
      <w:r w:rsidRPr="00611114">
        <w:t xml:space="preserve"> </w:t>
      </w:r>
      <w:r>
        <w:t xml:space="preserve">and </w:t>
      </w:r>
      <w:r w:rsidRPr="00611114">
        <w:t xml:space="preserve">feeds back to project decision-making levels. </w:t>
      </w:r>
      <w:r w:rsidRPr="000946EB">
        <w:t xml:space="preserve">The </w:t>
      </w:r>
      <w:r>
        <w:t>Joint Project</w:t>
      </w:r>
      <w:r w:rsidRPr="000946EB">
        <w:t xml:space="preserve"> Coordinator, hosted by the Convening Agency, will serve as the Secretary during the </w:t>
      </w:r>
      <w:r w:rsidRPr="00EB3037">
        <w:t>Steering Committee</w:t>
      </w:r>
      <w:r w:rsidRPr="000946EB">
        <w:t xml:space="preserve"> meetings.</w:t>
      </w:r>
      <w:r>
        <w:t xml:space="preserve"> </w:t>
      </w:r>
      <w:r w:rsidRPr="00611114">
        <w:t xml:space="preserve">The </w:t>
      </w:r>
      <w:r w:rsidRPr="004764B1">
        <w:t xml:space="preserve">Joint Project Coordinator </w:t>
      </w:r>
      <w:r w:rsidRPr="00611114">
        <w:t>will inform and seek SC</w:t>
      </w:r>
      <w:r>
        <w:t>’s</w:t>
      </w:r>
      <w:r w:rsidRPr="00611114">
        <w:t xml:space="preserve"> approval on any </w:t>
      </w:r>
      <w:r w:rsidRPr="00611114">
        <w:lastRenderedPageBreak/>
        <w:t>substantial budget revisions and activities that go beyond the minimal threshold from the initial approved budget.</w:t>
      </w:r>
    </w:p>
    <w:p w14:paraId="7564F600" w14:textId="77777777" w:rsidR="00B05D80" w:rsidRDefault="00B05D80" w:rsidP="00B05D80">
      <w:pPr>
        <w:jc w:val="both"/>
      </w:pPr>
    </w:p>
    <w:p w14:paraId="3D3E6612" w14:textId="77777777" w:rsidR="00B05D80" w:rsidRPr="00884330" w:rsidRDefault="00B05D80" w:rsidP="00B05D80">
      <w:pPr>
        <w:jc w:val="both"/>
      </w:pPr>
      <w:r>
        <w:t xml:space="preserve">The </w:t>
      </w:r>
      <w:r w:rsidRPr="00F90356">
        <w:rPr>
          <w:b/>
        </w:rPr>
        <w:t>Chief Technical Adviser</w:t>
      </w:r>
      <w:r>
        <w:rPr>
          <w:b/>
        </w:rPr>
        <w:t xml:space="preserve"> </w:t>
      </w:r>
      <w:r w:rsidRPr="00F90356">
        <w:t>will be responsible to provide s</w:t>
      </w:r>
      <w:r>
        <w:t>trategic and s</w:t>
      </w:r>
      <w:r w:rsidRPr="00F90356">
        <w:t>ubject-matter expertise</w:t>
      </w:r>
      <w:r>
        <w:t xml:space="preserve"> to the project, follow trends and developments </w:t>
      </w:r>
      <w:r w:rsidRPr="00352800">
        <w:t>related to social cohesion, dialogue, democratic reform, conflict prevention, peacebuilding</w:t>
      </w:r>
      <w:r>
        <w:t xml:space="preserve">, and engage in knowledge management. He/she will also be responsible to feed expertise into coordination, monitoring of results, and reporting. </w:t>
      </w:r>
    </w:p>
    <w:p w14:paraId="1DDE94FC" w14:textId="77777777" w:rsidR="00B05D80" w:rsidRPr="00884330" w:rsidRDefault="00B05D80" w:rsidP="00B05D80">
      <w:pPr>
        <w:jc w:val="both"/>
      </w:pPr>
    </w:p>
    <w:p w14:paraId="7F065638" w14:textId="1899A3BB" w:rsidR="00B05D80" w:rsidRDefault="00B05D80" w:rsidP="00B05D80">
      <w:pPr>
        <w:jc w:val="both"/>
      </w:pPr>
      <w:r>
        <w:t xml:space="preserve">The </w:t>
      </w:r>
      <w:r w:rsidRPr="00F90356">
        <w:rPr>
          <w:b/>
        </w:rPr>
        <w:t>Joint Project Associate</w:t>
      </w:r>
      <w:r>
        <w:t xml:space="preserve"> will be tasked with administrative, logistical, and support role in the Joint Project. </w:t>
      </w:r>
    </w:p>
    <w:p w14:paraId="29F226FF" w14:textId="3EDC94C6" w:rsidR="00383D79" w:rsidRPr="00B05D80" w:rsidRDefault="00383D79" w:rsidP="00B05D80">
      <w:pPr>
        <w:rPr>
          <w:highlight w:val="cyan"/>
        </w:rPr>
      </w:pPr>
    </w:p>
    <w:p w14:paraId="440420F0" w14:textId="77777777" w:rsidR="00803A9C" w:rsidRPr="004F164B" w:rsidRDefault="00803A9C" w:rsidP="00D570C5">
      <w:pPr>
        <w:pStyle w:val="ListParagraph"/>
        <w:rPr>
          <w:rFonts w:ascii="Times New Roman" w:hAnsi="Times New Roman"/>
          <w:sz w:val="24"/>
          <w:szCs w:val="24"/>
          <w:highlight w:val="cyan"/>
        </w:rPr>
      </w:pPr>
    </w:p>
    <w:p w14:paraId="6D706E40" w14:textId="2AD1BC0B" w:rsidR="00803A9C" w:rsidRPr="00E810B0" w:rsidRDefault="00803A9C" w:rsidP="00E810B0">
      <w:pPr>
        <w:pStyle w:val="ListParagraph"/>
        <w:numPr>
          <w:ilvl w:val="0"/>
          <w:numId w:val="8"/>
        </w:numPr>
        <w:jc w:val="both"/>
        <w:rPr>
          <w:rFonts w:ascii="Times New Roman" w:hAnsi="Times New Roman"/>
          <w:i/>
          <w:sz w:val="24"/>
          <w:szCs w:val="24"/>
        </w:rPr>
      </w:pPr>
      <w:r w:rsidRPr="00E810B0">
        <w:rPr>
          <w:rFonts w:ascii="Times New Roman" w:hAnsi="Times New Roman"/>
          <w:b/>
          <w:bCs/>
          <w:i/>
          <w:sz w:val="24"/>
          <w:szCs w:val="24"/>
        </w:rPr>
        <w:t>Risk management</w:t>
      </w:r>
      <w:r w:rsidRPr="00E810B0">
        <w:rPr>
          <w:rFonts w:ascii="Times New Roman" w:hAnsi="Times New Roman"/>
          <w:i/>
          <w:sz w:val="24"/>
          <w:szCs w:val="24"/>
        </w:rPr>
        <w:t xml:space="preserve"> – assess the level of risk for project success (low, medium and high) and provide a list of major project specific risks and how they will be managed, including the approach to updating risks and making project adjustments. Include any Do No Harm issues and project mitigation.</w:t>
      </w:r>
    </w:p>
    <w:p w14:paraId="4B27BBCD" w14:textId="1B28E1F5" w:rsidR="00B05D80" w:rsidRDefault="00B05D80" w:rsidP="00B05D80">
      <w:pPr>
        <w:rPr>
          <w:highlight w:val="cyan"/>
        </w:rPr>
      </w:pPr>
    </w:p>
    <w:p w14:paraId="35A4E196" w14:textId="77777777" w:rsidR="00B05D80" w:rsidRPr="00F90356" w:rsidRDefault="00B05D80" w:rsidP="00B05D80">
      <w:pPr>
        <w:jc w:val="both"/>
      </w:pPr>
      <w:r w:rsidRPr="00F90356">
        <w:t>Specific community-level risk is mitigated by inclusion of multiple beneficiaries across multiple geographical locations. It should be considered that in Kosovo conflict dynamics can be specific at family or village level. The impact of any specific local-level obstruction on overall project delivery will be contained through the intrinsic diversity in the target group.</w:t>
      </w:r>
    </w:p>
    <w:p w14:paraId="116EF623" w14:textId="77777777" w:rsidR="00B05D80" w:rsidRPr="00F90356" w:rsidRDefault="00B05D80" w:rsidP="00B05D80">
      <w:pPr>
        <w:jc w:val="both"/>
      </w:pPr>
    </w:p>
    <w:p w14:paraId="68E54A7E" w14:textId="77777777" w:rsidR="00B05D80" w:rsidRPr="00F90356" w:rsidRDefault="00B05D80" w:rsidP="00B05D80">
      <w:pPr>
        <w:jc w:val="both"/>
      </w:pPr>
      <w:r w:rsidRPr="00F90356">
        <w:t xml:space="preserve">The risk of failure to build </w:t>
      </w:r>
      <w:proofErr w:type="gramStart"/>
      <w:r w:rsidRPr="00F90356">
        <w:t>sufficient</w:t>
      </w:r>
      <w:proofErr w:type="gramEnd"/>
      <w:r w:rsidRPr="00F90356">
        <w:t xml:space="preserve"> trust between communities and the public institutions to ensure practical engagement of individual beneficiaries with those institutions is mitigated through the utilization of existing partnerships, developed in the course of past and existing programmatic activities. This familiarity with institutions and individuals facilitates quick and effective mediation and problem-solving.</w:t>
      </w:r>
      <w:r>
        <w:t xml:space="preserve"> </w:t>
      </w:r>
    </w:p>
    <w:p w14:paraId="3F67C34D" w14:textId="77777777" w:rsidR="00B05D80" w:rsidRPr="00F90356" w:rsidRDefault="00B05D80" w:rsidP="00B05D80">
      <w:pPr>
        <w:jc w:val="both"/>
      </w:pPr>
    </w:p>
    <w:p w14:paraId="0ABC40A9" w14:textId="77777777" w:rsidR="00B05D80" w:rsidRDefault="00B05D80" w:rsidP="00B05D80">
      <w:pPr>
        <w:jc w:val="both"/>
      </w:pPr>
      <w:r w:rsidRPr="00F90356">
        <w:t>Delivery risk is mitigated through the selection and application of proven methodologies, for which there is accumulated institutional experience.</w:t>
      </w:r>
    </w:p>
    <w:p w14:paraId="73094525" w14:textId="77777777" w:rsidR="00B05D80" w:rsidRPr="00F90356" w:rsidRDefault="00B05D80" w:rsidP="00B05D80">
      <w:pPr>
        <w:jc w:val="both"/>
      </w:pPr>
    </w:p>
    <w:p w14:paraId="45AE8DA8" w14:textId="77777777" w:rsidR="00B05D80" w:rsidRDefault="00B05D80" w:rsidP="00B05D80">
      <w:pPr>
        <w:rPr>
          <w:b/>
        </w:rPr>
      </w:pPr>
    </w:p>
    <w:tbl>
      <w:tblPr>
        <w:tblStyle w:val="TableGrid"/>
        <w:tblW w:w="0" w:type="auto"/>
        <w:tblLayout w:type="fixed"/>
        <w:tblLook w:val="04A0" w:firstRow="1" w:lastRow="0" w:firstColumn="1" w:lastColumn="0" w:noHBand="0" w:noVBand="1"/>
      </w:tblPr>
      <w:tblGrid>
        <w:gridCol w:w="3505"/>
        <w:gridCol w:w="1350"/>
        <w:gridCol w:w="1080"/>
        <w:gridCol w:w="3505"/>
      </w:tblGrid>
      <w:tr w:rsidR="00B05D80" w14:paraId="6EEEB7D6" w14:textId="77777777" w:rsidTr="00BB4884">
        <w:tc>
          <w:tcPr>
            <w:tcW w:w="3505" w:type="dxa"/>
          </w:tcPr>
          <w:p w14:paraId="547D518D" w14:textId="77777777" w:rsidR="00B05D80" w:rsidRDefault="00B05D80" w:rsidP="00BB4884">
            <w:pPr>
              <w:rPr>
                <w:b/>
              </w:rPr>
            </w:pPr>
            <w:r>
              <w:rPr>
                <w:b/>
              </w:rPr>
              <w:t>Risk &amp; Category</w:t>
            </w:r>
          </w:p>
        </w:tc>
        <w:tc>
          <w:tcPr>
            <w:tcW w:w="1350" w:type="dxa"/>
          </w:tcPr>
          <w:p w14:paraId="66AE8129" w14:textId="77777777" w:rsidR="00B05D80" w:rsidRDefault="00B05D80" w:rsidP="00BB4884">
            <w:pPr>
              <w:rPr>
                <w:b/>
              </w:rPr>
            </w:pPr>
            <w:r>
              <w:rPr>
                <w:b/>
              </w:rPr>
              <w:t>Likelihood</w:t>
            </w:r>
          </w:p>
        </w:tc>
        <w:tc>
          <w:tcPr>
            <w:tcW w:w="1080" w:type="dxa"/>
          </w:tcPr>
          <w:p w14:paraId="4F9DF429" w14:textId="77777777" w:rsidR="00B05D80" w:rsidRDefault="00B05D80" w:rsidP="00BB4884">
            <w:pPr>
              <w:rPr>
                <w:b/>
              </w:rPr>
            </w:pPr>
            <w:r>
              <w:rPr>
                <w:b/>
              </w:rPr>
              <w:t>Impact</w:t>
            </w:r>
          </w:p>
        </w:tc>
        <w:tc>
          <w:tcPr>
            <w:tcW w:w="3505" w:type="dxa"/>
          </w:tcPr>
          <w:p w14:paraId="79ACA2CE" w14:textId="77777777" w:rsidR="00B05D80" w:rsidRDefault="00B05D80" w:rsidP="00BB4884">
            <w:pPr>
              <w:rPr>
                <w:b/>
              </w:rPr>
            </w:pPr>
            <w:r>
              <w:rPr>
                <w:b/>
              </w:rPr>
              <w:t>Response</w:t>
            </w:r>
          </w:p>
        </w:tc>
      </w:tr>
      <w:tr w:rsidR="00B05D80" w14:paraId="2F685207" w14:textId="77777777" w:rsidTr="00BB4884">
        <w:tc>
          <w:tcPr>
            <w:tcW w:w="3505" w:type="dxa"/>
          </w:tcPr>
          <w:p w14:paraId="570F8873" w14:textId="77777777" w:rsidR="00B05D80" w:rsidRDefault="00B05D80" w:rsidP="00BB4884">
            <w:r w:rsidRPr="00F90356">
              <w:t>Limited interest of beneficiaries to participate in activities of the project</w:t>
            </w:r>
            <w:r>
              <w:t>.</w:t>
            </w:r>
          </w:p>
          <w:p w14:paraId="09F2796D" w14:textId="77777777" w:rsidR="00B05D80" w:rsidRPr="00F90356" w:rsidRDefault="00B05D80" w:rsidP="00BB4884">
            <w:r>
              <w:t>(Operational)</w:t>
            </w:r>
          </w:p>
        </w:tc>
        <w:tc>
          <w:tcPr>
            <w:tcW w:w="1350" w:type="dxa"/>
          </w:tcPr>
          <w:p w14:paraId="3628EF50" w14:textId="77777777" w:rsidR="00B05D80" w:rsidRPr="00F90356" w:rsidRDefault="00B05D80" w:rsidP="00BB4884">
            <w:r w:rsidRPr="00F90356">
              <w:t>Low</w:t>
            </w:r>
          </w:p>
        </w:tc>
        <w:tc>
          <w:tcPr>
            <w:tcW w:w="1080" w:type="dxa"/>
          </w:tcPr>
          <w:p w14:paraId="5B71AA0D" w14:textId="77777777" w:rsidR="00B05D80" w:rsidRPr="00F90356" w:rsidRDefault="00B05D80" w:rsidP="00BB4884">
            <w:r w:rsidRPr="00F90356">
              <w:t>High</w:t>
            </w:r>
          </w:p>
        </w:tc>
        <w:tc>
          <w:tcPr>
            <w:tcW w:w="3505" w:type="dxa"/>
          </w:tcPr>
          <w:p w14:paraId="32959455" w14:textId="4067A999" w:rsidR="00B05D80" w:rsidRPr="00F90356" w:rsidRDefault="00B05D80" w:rsidP="003F7786">
            <w:r w:rsidRPr="00F90356">
              <w:t>Established networks of the UN Agencies will be utilized to ensure high demand for the project</w:t>
            </w:r>
            <w:r>
              <w:t xml:space="preserve">’s </w:t>
            </w:r>
            <w:proofErr w:type="spellStart"/>
            <w:r>
              <w:t>programmes</w:t>
            </w:r>
            <w:proofErr w:type="spellEnd"/>
            <w:r w:rsidRPr="00F90356">
              <w:t xml:space="preserve">. The project will employ </w:t>
            </w:r>
            <w:r>
              <w:t xml:space="preserve">community </w:t>
            </w:r>
            <w:r w:rsidRPr="00F90356">
              <w:t xml:space="preserve">outreach campaigns and </w:t>
            </w:r>
            <w:r>
              <w:t xml:space="preserve">multiple </w:t>
            </w:r>
            <w:r w:rsidRPr="00F90356">
              <w:t xml:space="preserve">awareness raising channels about the services of the project. </w:t>
            </w:r>
            <w:r w:rsidR="007268C2">
              <w:t xml:space="preserve">For activities implemented in the </w:t>
            </w:r>
            <w:proofErr w:type="spellStart"/>
            <w:r w:rsidR="007268C2">
              <w:t>Mitrovicë</w:t>
            </w:r>
            <w:proofErr w:type="spellEnd"/>
            <w:r w:rsidR="007268C2">
              <w:t xml:space="preserve">/a region, close cooperation with UNMIK’s </w:t>
            </w:r>
            <w:proofErr w:type="spellStart"/>
            <w:r w:rsidR="007268C2">
              <w:t>Mitrovic</w:t>
            </w:r>
            <w:r w:rsidR="00DC0A2C">
              <w:t>ë</w:t>
            </w:r>
            <w:proofErr w:type="spellEnd"/>
            <w:r w:rsidR="00DC0A2C">
              <w:t>/</w:t>
            </w:r>
            <w:r w:rsidR="007268C2">
              <w:t xml:space="preserve">a Regional Office and other non-UN actors will be established </w:t>
            </w:r>
            <w:proofErr w:type="gramStart"/>
            <w:r w:rsidR="007268C2">
              <w:t>in order to</w:t>
            </w:r>
            <w:proofErr w:type="gramEnd"/>
            <w:r w:rsidR="007268C2">
              <w:t xml:space="preserve"> support engagement of project beneficiaries in the region based on their longstanding presence </w:t>
            </w:r>
            <w:r w:rsidR="007268C2">
              <w:lastRenderedPageBreak/>
              <w:t xml:space="preserve">and established </w:t>
            </w:r>
            <w:r w:rsidR="003F7786">
              <w:t>cooperation with key actors</w:t>
            </w:r>
            <w:r w:rsidR="007268C2">
              <w:t>.</w:t>
            </w:r>
          </w:p>
        </w:tc>
      </w:tr>
      <w:tr w:rsidR="00B05D80" w14:paraId="12EA524D" w14:textId="77777777" w:rsidTr="00BB4884">
        <w:trPr>
          <w:trHeight w:val="1502"/>
        </w:trPr>
        <w:tc>
          <w:tcPr>
            <w:tcW w:w="3505" w:type="dxa"/>
          </w:tcPr>
          <w:p w14:paraId="501FA584" w14:textId="77777777" w:rsidR="00B05D80" w:rsidRDefault="00B05D80" w:rsidP="00BB4884">
            <w:r w:rsidRPr="00F90356">
              <w:lastRenderedPageBreak/>
              <w:t xml:space="preserve">Unfavorable USD-EUR exchange rate fluctuations affecting the availability of resources for the project. </w:t>
            </w:r>
          </w:p>
          <w:p w14:paraId="691DA406" w14:textId="77777777" w:rsidR="00B05D80" w:rsidRPr="00F90356" w:rsidRDefault="00B05D80" w:rsidP="00BB4884">
            <w:r w:rsidRPr="00F90356">
              <w:t>(</w:t>
            </w:r>
            <w:r w:rsidRPr="005209CC">
              <w:t>Financial</w:t>
            </w:r>
            <w:r w:rsidRPr="00F90356">
              <w:t>)</w:t>
            </w:r>
          </w:p>
        </w:tc>
        <w:tc>
          <w:tcPr>
            <w:tcW w:w="1350" w:type="dxa"/>
          </w:tcPr>
          <w:p w14:paraId="312A69AD" w14:textId="77777777" w:rsidR="00B05D80" w:rsidRPr="00F90356" w:rsidRDefault="00B05D80" w:rsidP="00BB4884">
            <w:r w:rsidRPr="00F90356">
              <w:t>Low</w:t>
            </w:r>
          </w:p>
        </w:tc>
        <w:tc>
          <w:tcPr>
            <w:tcW w:w="1080" w:type="dxa"/>
          </w:tcPr>
          <w:p w14:paraId="4324D01D" w14:textId="77777777" w:rsidR="00B05D80" w:rsidRPr="00F90356" w:rsidRDefault="00B05D80" w:rsidP="00BB4884">
            <w:r w:rsidRPr="00F90356">
              <w:t>Medium</w:t>
            </w:r>
          </w:p>
        </w:tc>
        <w:tc>
          <w:tcPr>
            <w:tcW w:w="3505" w:type="dxa"/>
          </w:tcPr>
          <w:p w14:paraId="7650C033" w14:textId="77777777" w:rsidR="00B05D80" w:rsidRPr="00F90356" w:rsidRDefault="00B05D80" w:rsidP="00BB4884">
            <w:r w:rsidRPr="00F90356">
              <w:t>The project will closely monitor the exchange rates and will apply early-warning and adequate financial planning and management system.</w:t>
            </w:r>
          </w:p>
        </w:tc>
      </w:tr>
      <w:tr w:rsidR="00B05D80" w14:paraId="522B6B6B" w14:textId="77777777" w:rsidTr="00BB4884">
        <w:tc>
          <w:tcPr>
            <w:tcW w:w="3505" w:type="dxa"/>
          </w:tcPr>
          <w:p w14:paraId="42640B7F" w14:textId="77777777" w:rsidR="00B05D80" w:rsidRDefault="00B05D80" w:rsidP="00BB4884">
            <w:r w:rsidRPr="00F90356">
              <w:t xml:space="preserve">Political instability with regards to </w:t>
            </w:r>
            <w:r>
              <w:t>the inter-ethnic</w:t>
            </w:r>
            <w:r w:rsidRPr="00F90356">
              <w:t xml:space="preserve"> relations may hamper effective participation of young people from all communities. </w:t>
            </w:r>
          </w:p>
          <w:p w14:paraId="1319D178" w14:textId="77777777" w:rsidR="00B05D80" w:rsidRPr="00F90356" w:rsidRDefault="00B05D80" w:rsidP="00BB4884">
            <w:r>
              <w:t xml:space="preserve">(Political) </w:t>
            </w:r>
          </w:p>
        </w:tc>
        <w:tc>
          <w:tcPr>
            <w:tcW w:w="1350" w:type="dxa"/>
          </w:tcPr>
          <w:p w14:paraId="6085A343" w14:textId="77777777" w:rsidR="00B05D80" w:rsidRPr="00F90356" w:rsidRDefault="00B05D80" w:rsidP="00BB4884">
            <w:r w:rsidRPr="00F90356">
              <w:t>Medium</w:t>
            </w:r>
          </w:p>
        </w:tc>
        <w:tc>
          <w:tcPr>
            <w:tcW w:w="1080" w:type="dxa"/>
          </w:tcPr>
          <w:p w14:paraId="01D523CD" w14:textId="77777777" w:rsidR="00B05D80" w:rsidRPr="00F90356" w:rsidRDefault="00B05D80" w:rsidP="00BB4884">
            <w:r w:rsidRPr="00F90356">
              <w:t>Medium</w:t>
            </w:r>
          </w:p>
        </w:tc>
        <w:tc>
          <w:tcPr>
            <w:tcW w:w="3505" w:type="dxa"/>
          </w:tcPr>
          <w:p w14:paraId="68CB1682" w14:textId="15CFF1A9" w:rsidR="00B05D80" w:rsidRPr="004B06B9" w:rsidRDefault="004B06B9" w:rsidP="004B06B9">
            <w:pPr>
              <w:widowControl w:val="0"/>
              <w:autoSpaceDE w:val="0"/>
              <w:autoSpaceDN w:val="0"/>
              <w:adjustRightInd w:val="0"/>
              <w:rPr>
                <w:rFonts w:eastAsia="MS Mincho"/>
                <w:color w:val="000000"/>
                <w:lang w:eastAsia="zh-CN"/>
              </w:rPr>
            </w:pPr>
            <w:r w:rsidRPr="00611114">
              <w:rPr>
                <w:rFonts w:eastAsia="MS Mincho"/>
                <w:color w:val="000000"/>
                <w:lang w:eastAsia="zh-CN"/>
              </w:rPr>
              <w:t xml:space="preserve">Throughout the project, </w:t>
            </w:r>
            <w:r>
              <w:rPr>
                <w:rFonts w:eastAsia="MS Mincho"/>
                <w:color w:val="000000"/>
                <w:lang w:eastAsia="zh-CN"/>
              </w:rPr>
              <w:t>the support and objectives of building trust within communities, between communities and between communities and public service providers will be emphasized and advocated, while</w:t>
            </w:r>
            <w:r w:rsidRPr="00611114">
              <w:rPr>
                <w:rFonts w:eastAsia="MS Mincho"/>
                <w:color w:val="000000"/>
                <w:lang w:eastAsia="zh-CN"/>
              </w:rPr>
              <w:t xml:space="preserve"> maintaining a clear neutral</w:t>
            </w:r>
            <w:r>
              <w:rPr>
                <w:rFonts w:eastAsia="MS Mincho"/>
                <w:color w:val="000000"/>
                <w:lang w:eastAsia="zh-CN"/>
              </w:rPr>
              <w:t xml:space="preserve"> and unbiased</w:t>
            </w:r>
            <w:r w:rsidRPr="00611114">
              <w:rPr>
                <w:rFonts w:eastAsia="MS Mincho"/>
                <w:color w:val="000000"/>
                <w:lang w:eastAsia="zh-CN"/>
              </w:rPr>
              <w:t xml:space="preserve"> stance </w:t>
            </w:r>
            <w:r>
              <w:rPr>
                <w:rFonts w:eastAsia="MS Mincho"/>
                <w:color w:val="000000"/>
                <w:lang w:eastAsia="zh-CN"/>
              </w:rPr>
              <w:t xml:space="preserve">with regards to any political elements. </w:t>
            </w:r>
          </w:p>
        </w:tc>
      </w:tr>
      <w:tr w:rsidR="00B05D80" w14:paraId="63BB8EB1" w14:textId="77777777" w:rsidTr="00BB4884">
        <w:tc>
          <w:tcPr>
            <w:tcW w:w="3505" w:type="dxa"/>
          </w:tcPr>
          <w:p w14:paraId="66C4D1D1" w14:textId="77777777" w:rsidR="00B05D80" w:rsidRPr="00F90356" w:rsidRDefault="00B05D80" w:rsidP="00BB4884">
            <w:r w:rsidRPr="00F90356">
              <w:t>Unplanned snap elections</w:t>
            </w:r>
            <w:r>
              <w:t xml:space="preserve"> on the central level</w:t>
            </w:r>
            <w:r w:rsidRPr="00F90356">
              <w:t xml:space="preserve"> may </w:t>
            </w:r>
            <w:r>
              <w:t>disrupt commitment of key partners, including on the local level. (Political)</w:t>
            </w:r>
          </w:p>
        </w:tc>
        <w:tc>
          <w:tcPr>
            <w:tcW w:w="1350" w:type="dxa"/>
          </w:tcPr>
          <w:p w14:paraId="27B238FC" w14:textId="77777777" w:rsidR="00B05D80" w:rsidRPr="00F90356" w:rsidRDefault="00B05D80" w:rsidP="00BB4884">
            <w:r w:rsidRPr="00F90356">
              <w:t>Medium</w:t>
            </w:r>
          </w:p>
        </w:tc>
        <w:tc>
          <w:tcPr>
            <w:tcW w:w="1080" w:type="dxa"/>
          </w:tcPr>
          <w:p w14:paraId="7B40F143" w14:textId="77777777" w:rsidR="00B05D80" w:rsidRPr="00F90356" w:rsidRDefault="00B05D80" w:rsidP="00BB4884">
            <w:r w:rsidRPr="00F90356">
              <w:t>Medium</w:t>
            </w:r>
          </w:p>
        </w:tc>
        <w:tc>
          <w:tcPr>
            <w:tcW w:w="3505" w:type="dxa"/>
          </w:tcPr>
          <w:p w14:paraId="05748FC1" w14:textId="3F1E9FA2" w:rsidR="00B05D80" w:rsidRPr="00590F93" w:rsidRDefault="00590F93" w:rsidP="00BB4884">
            <w:r w:rsidRPr="00590F93">
              <w:t>The project</w:t>
            </w:r>
            <w:r>
              <w:t xml:space="preserve"> will utilize technical-level networks in place and build on technical channels of cooperation, minimizing any potential impact by political-level appointees.</w:t>
            </w:r>
          </w:p>
        </w:tc>
      </w:tr>
      <w:tr w:rsidR="00B05D80" w14:paraId="4C7B011C" w14:textId="77777777" w:rsidTr="001B47DD">
        <w:tc>
          <w:tcPr>
            <w:tcW w:w="3505" w:type="dxa"/>
            <w:shd w:val="clear" w:color="auto" w:fill="auto"/>
          </w:tcPr>
          <w:p w14:paraId="2D5E0341" w14:textId="77777777" w:rsidR="00B05D80" w:rsidRPr="00F90356" w:rsidRDefault="00B05D80" w:rsidP="00BB4884">
            <w:r w:rsidRPr="001B47DD">
              <w:rPr>
                <w:shd w:val="clear" w:color="auto" w:fill="FFFFFF" w:themeFill="background1"/>
              </w:rPr>
              <w:t>Overlap with other interventions and duplication of activities may reduce the efficiency and impact of the project</w:t>
            </w:r>
          </w:p>
          <w:p w14:paraId="0AAF9E1F" w14:textId="77777777" w:rsidR="00B05D80" w:rsidRPr="00F90356" w:rsidRDefault="00B05D80" w:rsidP="00BB4884">
            <w:r w:rsidRPr="00F90356">
              <w:t>(Strategic)</w:t>
            </w:r>
          </w:p>
        </w:tc>
        <w:tc>
          <w:tcPr>
            <w:tcW w:w="1350" w:type="dxa"/>
            <w:shd w:val="clear" w:color="auto" w:fill="auto"/>
          </w:tcPr>
          <w:p w14:paraId="0E51C602" w14:textId="77777777" w:rsidR="00B05D80" w:rsidRPr="00F90356" w:rsidRDefault="00B05D80" w:rsidP="00BB4884">
            <w:r w:rsidRPr="00F90356">
              <w:t>Low</w:t>
            </w:r>
          </w:p>
        </w:tc>
        <w:tc>
          <w:tcPr>
            <w:tcW w:w="1080" w:type="dxa"/>
            <w:shd w:val="clear" w:color="auto" w:fill="auto"/>
          </w:tcPr>
          <w:p w14:paraId="7225FDC9" w14:textId="77777777" w:rsidR="00B05D80" w:rsidRPr="00F90356" w:rsidRDefault="00B05D80" w:rsidP="00BB4884">
            <w:r w:rsidRPr="00F90356">
              <w:t>Medium</w:t>
            </w:r>
          </w:p>
        </w:tc>
        <w:tc>
          <w:tcPr>
            <w:tcW w:w="3505" w:type="dxa"/>
            <w:shd w:val="clear" w:color="auto" w:fill="auto"/>
          </w:tcPr>
          <w:p w14:paraId="3685F7AA" w14:textId="74F5580A" w:rsidR="0034292F" w:rsidRPr="00F90356" w:rsidRDefault="00B05D80" w:rsidP="0034292F">
            <w:r w:rsidRPr="001B47DD">
              <w:t xml:space="preserve">The Joint Project </w:t>
            </w:r>
            <w:r w:rsidR="0063372E" w:rsidRPr="001B47DD">
              <w:t xml:space="preserve">Coordination </w:t>
            </w:r>
            <w:r w:rsidRPr="001B47DD">
              <w:t>Team and the participating UN Agencies will c</w:t>
            </w:r>
            <w:r w:rsidR="004B06B9" w:rsidRPr="001B47DD">
              <w:t>oordinate closely with other interventions in the respective areas to minimize potential overlap and capitalize on any possible synergies and impact multipliers.</w:t>
            </w:r>
            <w:r w:rsidR="004B06B9">
              <w:t xml:space="preserve"> </w:t>
            </w:r>
            <w:r w:rsidR="001B47DD">
              <w:t xml:space="preserve">Other relevant coordination mechanisms such as the Gender Technical Group and </w:t>
            </w:r>
            <w:r w:rsidR="00E56414">
              <w:t xml:space="preserve">the </w:t>
            </w:r>
            <w:r w:rsidR="001B47DD">
              <w:t xml:space="preserve">Youth Engagement Coordination Group (both of which </w:t>
            </w:r>
            <w:r w:rsidR="00D16CA8">
              <w:t xml:space="preserve">include </w:t>
            </w:r>
            <w:r w:rsidR="001B47DD">
              <w:t xml:space="preserve">key </w:t>
            </w:r>
            <w:r w:rsidR="00D16CA8">
              <w:t>stakeholders, incl. UNMIK</w:t>
            </w:r>
            <w:r w:rsidR="001B47DD">
              <w:t xml:space="preserve">) </w:t>
            </w:r>
            <w:r w:rsidR="00890D43">
              <w:t xml:space="preserve">will be </w:t>
            </w:r>
            <w:r w:rsidR="001B47DD">
              <w:t xml:space="preserve">used to support coordination of efforts related to the thematic focus areas of the project. </w:t>
            </w:r>
          </w:p>
        </w:tc>
      </w:tr>
      <w:tr w:rsidR="00B05D80" w14:paraId="6717C97D" w14:textId="77777777" w:rsidTr="00BB4884">
        <w:tc>
          <w:tcPr>
            <w:tcW w:w="3505" w:type="dxa"/>
          </w:tcPr>
          <w:p w14:paraId="7299ED16" w14:textId="77777777" w:rsidR="00B05D80" w:rsidRDefault="00F46B6B" w:rsidP="00BB4884">
            <w:r w:rsidRPr="00F46B6B">
              <w:t>Overall security situation in the northern municipalities</w:t>
            </w:r>
            <w:r>
              <w:t xml:space="preserve"> of the </w:t>
            </w:r>
            <w:proofErr w:type="spellStart"/>
            <w:r>
              <w:t>Mitrovicë</w:t>
            </w:r>
            <w:proofErr w:type="spellEnd"/>
            <w:r>
              <w:t>/a region</w:t>
            </w:r>
            <w:r w:rsidRPr="00F46B6B">
              <w:t xml:space="preserve"> deteriorates</w:t>
            </w:r>
          </w:p>
          <w:p w14:paraId="25E66C89" w14:textId="7C73BFAB" w:rsidR="00E21059" w:rsidRPr="00F46B6B" w:rsidRDefault="00E21059" w:rsidP="00BB4884">
            <w:r>
              <w:t>(Operational)</w:t>
            </w:r>
          </w:p>
        </w:tc>
        <w:tc>
          <w:tcPr>
            <w:tcW w:w="1350" w:type="dxa"/>
          </w:tcPr>
          <w:p w14:paraId="13DE83B0" w14:textId="540C456E" w:rsidR="00B05D80" w:rsidRPr="00F46B6B" w:rsidRDefault="00F46B6B" w:rsidP="00BB4884">
            <w:r w:rsidRPr="00F46B6B">
              <w:t>Low</w:t>
            </w:r>
          </w:p>
        </w:tc>
        <w:tc>
          <w:tcPr>
            <w:tcW w:w="1080" w:type="dxa"/>
          </w:tcPr>
          <w:p w14:paraId="5A6EA817" w14:textId="7E82D825" w:rsidR="00B05D80" w:rsidRPr="00F46B6B" w:rsidRDefault="00F46B6B" w:rsidP="00BB4884">
            <w:r w:rsidRPr="00F46B6B">
              <w:t>High</w:t>
            </w:r>
          </w:p>
        </w:tc>
        <w:tc>
          <w:tcPr>
            <w:tcW w:w="3505" w:type="dxa"/>
          </w:tcPr>
          <w:p w14:paraId="62335A30" w14:textId="033F7F55" w:rsidR="00B05D80" w:rsidRPr="00F46B6B" w:rsidRDefault="00F46B6B" w:rsidP="003F7786">
            <w:r w:rsidRPr="00F46B6B">
              <w:t>Mitigation of this risk is very difficult, however close monitoring of security and overall local conditions with intensive involvement of local staff</w:t>
            </w:r>
            <w:r w:rsidR="003F7786">
              <w:t>,</w:t>
            </w:r>
            <w:r w:rsidR="00D16CA8">
              <w:t xml:space="preserve"> </w:t>
            </w:r>
            <w:r>
              <w:t>UN SMS</w:t>
            </w:r>
            <w:r w:rsidRPr="00F46B6B">
              <w:t xml:space="preserve"> </w:t>
            </w:r>
            <w:r w:rsidR="00C96D18">
              <w:t xml:space="preserve">and </w:t>
            </w:r>
            <w:r w:rsidR="003F7786">
              <w:t xml:space="preserve">the Head of UNMIK’s MRO (who serves as ASC for the region) </w:t>
            </w:r>
            <w:r w:rsidRPr="00F46B6B">
              <w:t xml:space="preserve">will help to anticipate changes, thus making possible </w:t>
            </w:r>
            <w:r w:rsidRPr="00F46B6B">
              <w:lastRenderedPageBreak/>
              <w:t>changes in advance in implementation plans</w:t>
            </w:r>
          </w:p>
        </w:tc>
      </w:tr>
      <w:tr w:rsidR="00E21059" w14:paraId="1B7E3007" w14:textId="77777777" w:rsidTr="00CD3C6D">
        <w:trPr>
          <w:trHeight w:val="2627"/>
        </w:trPr>
        <w:tc>
          <w:tcPr>
            <w:tcW w:w="3505" w:type="dxa"/>
          </w:tcPr>
          <w:p w14:paraId="40918433" w14:textId="77777777" w:rsidR="00E21059" w:rsidRDefault="000158AB" w:rsidP="00BB4884">
            <w:r w:rsidRPr="000158AB">
              <w:lastRenderedPageBreak/>
              <w:t>Traditional cultural and social values of the communi</w:t>
            </w:r>
            <w:r>
              <w:t xml:space="preserve">ties targeted by the </w:t>
            </w:r>
            <w:proofErr w:type="spellStart"/>
            <w:r>
              <w:t>programme</w:t>
            </w:r>
            <w:proofErr w:type="spellEnd"/>
            <w:r>
              <w:t xml:space="preserve">, </w:t>
            </w:r>
            <w:r w:rsidRPr="000158AB">
              <w:t>particularly related to the social role of women</w:t>
            </w:r>
            <w:r>
              <w:t xml:space="preserve">, </w:t>
            </w:r>
            <w:r w:rsidRPr="000158AB">
              <w:t xml:space="preserve">may constrain women </w:t>
            </w:r>
            <w:r>
              <w:t xml:space="preserve">and women </w:t>
            </w:r>
            <w:r w:rsidRPr="000158AB">
              <w:t>groups to effectively participate in and benefit from the project</w:t>
            </w:r>
            <w:r>
              <w:t>.</w:t>
            </w:r>
          </w:p>
          <w:p w14:paraId="7DE703BF" w14:textId="155BD68B" w:rsidR="009958CF" w:rsidRPr="00F46B6B" w:rsidRDefault="009958CF" w:rsidP="00BB4884">
            <w:r>
              <w:t>(Social, and Operational)</w:t>
            </w:r>
          </w:p>
        </w:tc>
        <w:tc>
          <w:tcPr>
            <w:tcW w:w="1350" w:type="dxa"/>
          </w:tcPr>
          <w:p w14:paraId="2287AB5A" w14:textId="636CB08B" w:rsidR="00E21059" w:rsidRPr="00F46B6B" w:rsidRDefault="000158AB" w:rsidP="00BB4884">
            <w:r>
              <w:t>Low</w:t>
            </w:r>
          </w:p>
        </w:tc>
        <w:tc>
          <w:tcPr>
            <w:tcW w:w="1080" w:type="dxa"/>
          </w:tcPr>
          <w:p w14:paraId="49C56400" w14:textId="19F1EFDB" w:rsidR="00E21059" w:rsidRPr="00F46B6B" w:rsidRDefault="000158AB" w:rsidP="00BB4884">
            <w:r>
              <w:t>High</w:t>
            </w:r>
          </w:p>
        </w:tc>
        <w:tc>
          <w:tcPr>
            <w:tcW w:w="3505" w:type="dxa"/>
          </w:tcPr>
          <w:p w14:paraId="349A38B4" w14:textId="551D62CA" w:rsidR="00E21059" w:rsidRPr="00F46B6B" w:rsidRDefault="000158AB" w:rsidP="00BB4884">
            <w:r>
              <w:t>The</w:t>
            </w:r>
            <w:r w:rsidRPr="000158AB">
              <w:t xml:space="preserve"> project activities will be tailored to encourage </w:t>
            </w:r>
            <w:r w:rsidR="00D369A1">
              <w:t xml:space="preserve">and offer opportunities for </w:t>
            </w:r>
            <w:r>
              <w:t xml:space="preserve">young </w:t>
            </w:r>
            <w:r w:rsidRPr="000158AB">
              <w:t xml:space="preserve">women to </w:t>
            </w:r>
            <w:r>
              <w:t>be part of the project</w:t>
            </w:r>
            <w:r w:rsidRPr="000158AB">
              <w:t>, complemented by outreach campaigns and measures of advocacy</w:t>
            </w:r>
            <w:r>
              <w:t>, as well as affirmative action (such as quotas</w:t>
            </w:r>
            <w:r w:rsidR="00D369A1">
              <w:t>,</w:t>
            </w:r>
            <w:r>
              <w:t xml:space="preserve"> or women-only activities). </w:t>
            </w:r>
          </w:p>
        </w:tc>
      </w:tr>
    </w:tbl>
    <w:p w14:paraId="1699A963" w14:textId="77777777" w:rsidR="00B05D80" w:rsidRDefault="00B05D80" w:rsidP="00B05D80">
      <w:pPr>
        <w:rPr>
          <w:b/>
        </w:rPr>
      </w:pPr>
    </w:p>
    <w:p w14:paraId="0A713FAF" w14:textId="77777777" w:rsidR="00B05D80" w:rsidRPr="00B05D80" w:rsidRDefault="00B05D80" w:rsidP="00B05D80">
      <w:pPr>
        <w:rPr>
          <w:highlight w:val="cyan"/>
        </w:rPr>
      </w:pPr>
    </w:p>
    <w:p w14:paraId="0D429001" w14:textId="77777777" w:rsidR="00803A9C" w:rsidRPr="004F164B" w:rsidRDefault="00803A9C" w:rsidP="00D570C5">
      <w:pPr>
        <w:pStyle w:val="ListParagraph"/>
        <w:rPr>
          <w:rFonts w:ascii="Times New Roman" w:hAnsi="Times New Roman"/>
          <w:sz w:val="24"/>
          <w:szCs w:val="24"/>
          <w:highlight w:val="cyan"/>
        </w:rPr>
      </w:pPr>
    </w:p>
    <w:p w14:paraId="4D9B287D" w14:textId="36147148" w:rsidR="00803A9C" w:rsidRPr="00E810B0" w:rsidRDefault="00803A9C" w:rsidP="00E810B0">
      <w:pPr>
        <w:pStyle w:val="ListParagraph"/>
        <w:numPr>
          <w:ilvl w:val="0"/>
          <w:numId w:val="8"/>
        </w:numPr>
        <w:jc w:val="both"/>
        <w:rPr>
          <w:rFonts w:ascii="Times New Roman" w:hAnsi="Times New Roman"/>
          <w:i/>
          <w:sz w:val="24"/>
          <w:szCs w:val="24"/>
        </w:rPr>
      </w:pPr>
      <w:r w:rsidRPr="00E810B0">
        <w:rPr>
          <w:rFonts w:ascii="Times New Roman" w:hAnsi="Times New Roman"/>
          <w:b/>
          <w:bCs/>
          <w:i/>
          <w:sz w:val="24"/>
          <w:szCs w:val="24"/>
        </w:rPr>
        <w:t>Monitoring and evaluation</w:t>
      </w:r>
      <w:r w:rsidRPr="00E810B0">
        <w:rPr>
          <w:rFonts w:ascii="Times New Roman" w:hAnsi="Times New Roman"/>
          <w:i/>
          <w:sz w:val="24"/>
          <w:szCs w:val="24"/>
        </w:rPr>
        <w:t xml:space="preserve"> – What will be the M&amp;E approach for the project, including M&amp;E expertise in the project team and main means and timing of collecting data? Include a break-down of M&amp;E budget that the project is putting aside, including for collection of baseline and end line data for indicators and independent evaluation, and an approximate M&amp;E timeline. Ensure at least 5-7% of the project budget is set aside for M&amp;E activities.</w:t>
      </w:r>
    </w:p>
    <w:p w14:paraId="494ABA96" w14:textId="36C894EB" w:rsidR="00B05D80" w:rsidRDefault="00B05D80" w:rsidP="00B05D80">
      <w:pPr>
        <w:rPr>
          <w:highlight w:val="cyan"/>
        </w:rPr>
      </w:pPr>
    </w:p>
    <w:p w14:paraId="237522EB" w14:textId="3604918F" w:rsidR="00B05D80" w:rsidRDefault="00B05D80" w:rsidP="00B05D80">
      <w:pPr>
        <w:jc w:val="both"/>
        <w:rPr>
          <w:color w:val="000000"/>
        </w:rPr>
      </w:pPr>
      <w:r w:rsidRPr="006B2069">
        <w:rPr>
          <w:color w:val="000000"/>
        </w:rPr>
        <w:t>The project will be monitored by assessing progress again</w:t>
      </w:r>
      <w:r>
        <w:rPr>
          <w:color w:val="000000"/>
        </w:rPr>
        <w:t>st the qualitative and quantita</w:t>
      </w:r>
      <w:r w:rsidRPr="006B2069">
        <w:rPr>
          <w:color w:val="000000"/>
        </w:rPr>
        <w:t xml:space="preserve">tive indicators outlined in the </w:t>
      </w:r>
      <w:r>
        <w:rPr>
          <w:color w:val="000000"/>
        </w:rPr>
        <w:t>RRF</w:t>
      </w:r>
      <w:r w:rsidRPr="006B2069">
        <w:rPr>
          <w:color w:val="000000"/>
        </w:rPr>
        <w:t>. The indicat</w:t>
      </w:r>
      <w:r>
        <w:rPr>
          <w:color w:val="000000"/>
        </w:rPr>
        <w:t>ors will be further refined</w:t>
      </w:r>
      <w:r w:rsidR="00157BE4">
        <w:rPr>
          <w:color w:val="000000"/>
        </w:rPr>
        <w:t>, where necessary,</w:t>
      </w:r>
      <w:r>
        <w:rPr>
          <w:color w:val="000000"/>
        </w:rPr>
        <w:t xml:space="preserve"> dur</w:t>
      </w:r>
      <w:r w:rsidRPr="006B2069">
        <w:rPr>
          <w:color w:val="000000"/>
        </w:rPr>
        <w:t xml:space="preserve">ing the </w:t>
      </w:r>
      <w:r w:rsidR="00166356" w:rsidRPr="009C0A4E">
        <w:rPr>
          <w:color w:val="000000"/>
        </w:rPr>
        <w:t>2</w:t>
      </w:r>
      <w:r w:rsidRPr="009C0A4E">
        <w:rPr>
          <w:color w:val="000000"/>
        </w:rPr>
        <w:t>-month inception stage</w:t>
      </w:r>
      <w:r w:rsidRPr="006B2069">
        <w:rPr>
          <w:color w:val="000000"/>
        </w:rPr>
        <w:t xml:space="preserve"> of the project</w:t>
      </w:r>
      <w:r>
        <w:rPr>
          <w:color w:val="000000"/>
        </w:rPr>
        <w:t>, in which also a detailed monitoring schedule will be developed</w:t>
      </w:r>
      <w:r w:rsidRPr="006B2069">
        <w:rPr>
          <w:color w:val="000000"/>
        </w:rPr>
        <w:t xml:space="preserve">. The project’s monitoring system </w:t>
      </w:r>
      <w:r>
        <w:rPr>
          <w:color w:val="000000"/>
        </w:rPr>
        <w:t>will consistently use</w:t>
      </w:r>
      <w:r w:rsidRPr="006B2069">
        <w:rPr>
          <w:color w:val="000000"/>
        </w:rPr>
        <w:t xml:space="preserve"> </w:t>
      </w:r>
      <w:r>
        <w:rPr>
          <w:color w:val="000000"/>
        </w:rPr>
        <w:t xml:space="preserve">sex-disaggregated data, as well as data on participation of various ethnic communities in the project. </w:t>
      </w:r>
      <w:r w:rsidR="00C07239" w:rsidRPr="00C07239">
        <w:rPr>
          <w:color w:val="000000"/>
        </w:rPr>
        <w:t xml:space="preserve">Results achieved by the project will </w:t>
      </w:r>
      <w:r w:rsidR="00C07239">
        <w:rPr>
          <w:color w:val="000000"/>
        </w:rPr>
        <w:t>feed</w:t>
      </w:r>
      <w:r w:rsidR="00C07239" w:rsidRPr="00C07239">
        <w:rPr>
          <w:color w:val="000000"/>
        </w:rPr>
        <w:t xml:space="preserve"> into the UN Trust-building Forum and the Kosovo Roadmap on Youth, Peace and Security (2017) to reflect on how project results contributed to the needs articulated </w:t>
      </w:r>
      <w:r w:rsidR="00195A4A">
        <w:rPr>
          <w:color w:val="000000"/>
        </w:rPr>
        <w:t>within these frameworks</w:t>
      </w:r>
      <w:r w:rsidR="00C07239">
        <w:rPr>
          <w:color w:val="000000"/>
        </w:rPr>
        <w:t>.</w:t>
      </w:r>
    </w:p>
    <w:p w14:paraId="5FC9660A" w14:textId="77777777" w:rsidR="00B05D80" w:rsidRDefault="00B05D80" w:rsidP="00B05D80">
      <w:pPr>
        <w:jc w:val="both"/>
        <w:rPr>
          <w:color w:val="000000"/>
        </w:rPr>
      </w:pPr>
    </w:p>
    <w:p w14:paraId="7608252D" w14:textId="02806EBE" w:rsidR="004003FC" w:rsidRDefault="00B05D80" w:rsidP="00B05D80">
      <w:pPr>
        <w:jc w:val="both"/>
        <w:rPr>
          <w:color w:val="000000"/>
        </w:rPr>
      </w:pPr>
      <w:r>
        <w:rPr>
          <w:color w:val="000000"/>
        </w:rPr>
        <w:t>Day-to-</w:t>
      </w:r>
      <w:r w:rsidRPr="00611114">
        <w:rPr>
          <w:color w:val="000000"/>
        </w:rPr>
        <w:t xml:space="preserve">day monitoring will be </w:t>
      </w:r>
      <w:r>
        <w:rPr>
          <w:color w:val="000000"/>
        </w:rPr>
        <w:t>managed</w:t>
      </w:r>
      <w:r w:rsidRPr="00611114">
        <w:rPr>
          <w:color w:val="000000"/>
        </w:rPr>
        <w:t xml:space="preserve"> by the </w:t>
      </w:r>
      <w:r w:rsidRPr="00F90356">
        <w:t xml:space="preserve">Joint Project </w:t>
      </w:r>
      <w:r w:rsidR="0063372E">
        <w:t xml:space="preserve">Coordination </w:t>
      </w:r>
      <w:r w:rsidRPr="00F90356">
        <w:t>Team</w:t>
      </w:r>
      <w:r>
        <w:t>,</w:t>
      </w:r>
      <w:r w:rsidRPr="00611114">
        <w:rPr>
          <w:color w:val="000000"/>
        </w:rPr>
        <w:t xml:space="preserve"> and implementation monitoring will be performed by the </w:t>
      </w:r>
      <w:r>
        <w:rPr>
          <w:color w:val="000000"/>
        </w:rPr>
        <w:t xml:space="preserve">Joint </w:t>
      </w:r>
      <w:r w:rsidRPr="00611114">
        <w:rPr>
          <w:color w:val="000000"/>
        </w:rPr>
        <w:t xml:space="preserve">Project </w:t>
      </w:r>
      <w:r>
        <w:rPr>
          <w:color w:val="000000"/>
        </w:rPr>
        <w:t>Steering Committee. The project will utilize a mix of monitoring tools, including</w:t>
      </w:r>
      <w:r w:rsidR="009F2B26">
        <w:rPr>
          <w:color w:val="000000"/>
        </w:rPr>
        <w:t xml:space="preserve"> on-site monitoring in the partner localities utilizing established systems (such as monitoring of UNV placements, as well as skills development</w:t>
      </w:r>
      <w:r w:rsidR="00157BE4">
        <w:rPr>
          <w:color w:val="000000"/>
        </w:rPr>
        <w:t xml:space="preserve"> and employment</w:t>
      </w:r>
      <w:r w:rsidR="009F2B26">
        <w:rPr>
          <w:color w:val="000000"/>
        </w:rPr>
        <w:t xml:space="preserve"> opportunities),</w:t>
      </w:r>
      <w:r>
        <w:rPr>
          <w:color w:val="000000"/>
        </w:rPr>
        <w:t xml:space="preserve"> entry and exit interviews with participants in the project, individual case files, and collection of micronarratives. </w:t>
      </w:r>
      <w:r w:rsidR="004003FC">
        <w:rPr>
          <w:color w:val="000000"/>
        </w:rPr>
        <w:t xml:space="preserve">Public service providers will be engaged in field monitoring of the project activities where possible, </w:t>
      </w:r>
      <w:proofErr w:type="gramStart"/>
      <w:r w:rsidR="004003FC">
        <w:rPr>
          <w:color w:val="000000"/>
        </w:rPr>
        <w:t>in order to</w:t>
      </w:r>
      <w:proofErr w:type="gramEnd"/>
      <w:r w:rsidR="004003FC">
        <w:rPr>
          <w:color w:val="000000"/>
        </w:rPr>
        <w:t xml:space="preserve"> reinforce the feedback loop from the beneficiaries, and further stimulate trust in public service delivery. </w:t>
      </w:r>
    </w:p>
    <w:p w14:paraId="2AD05F0B" w14:textId="77777777" w:rsidR="004003FC" w:rsidRDefault="004003FC" w:rsidP="00B05D80">
      <w:pPr>
        <w:jc w:val="both"/>
        <w:rPr>
          <w:color w:val="000000"/>
        </w:rPr>
      </w:pPr>
    </w:p>
    <w:p w14:paraId="47BF2675" w14:textId="31873386" w:rsidR="00E810B0" w:rsidRDefault="00B05D80" w:rsidP="00B05D80">
      <w:pPr>
        <w:jc w:val="both"/>
        <w:rPr>
          <w:color w:val="000000"/>
        </w:rPr>
      </w:pPr>
      <w:r>
        <w:rPr>
          <w:color w:val="000000"/>
        </w:rPr>
        <w:t xml:space="preserve">Moreover, the joint project will utilize U-Report and </w:t>
      </w:r>
      <w:proofErr w:type="spellStart"/>
      <w:r>
        <w:rPr>
          <w:color w:val="000000"/>
        </w:rPr>
        <w:t>RapidPro</w:t>
      </w:r>
      <w:proofErr w:type="spellEnd"/>
      <w:r>
        <w:rPr>
          <w:color w:val="000000"/>
        </w:rPr>
        <w:t xml:space="preserve"> as tools of monitoring the project’s impact</w:t>
      </w:r>
      <w:r w:rsidR="007229C5">
        <w:rPr>
          <w:color w:val="000000"/>
        </w:rPr>
        <w:t xml:space="preserve">, </w:t>
      </w:r>
      <w:r w:rsidR="005908BF" w:rsidRPr="005908BF">
        <w:rPr>
          <w:color w:val="000000"/>
        </w:rPr>
        <w:t>for pre and pos</w:t>
      </w:r>
      <w:r w:rsidR="007229C5">
        <w:rPr>
          <w:color w:val="000000"/>
        </w:rPr>
        <w:t>t-</w:t>
      </w:r>
      <w:r w:rsidR="005908BF">
        <w:rPr>
          <w:color w:val="000000"/>
        </w:rPr>
        <w:t xml:space="preserve">assessment of beneficiaries. </w:t>
      </w:r>
      <w:r w:rsidRPr="00D052CD">
        <w:rPr>
          <w:color w:val="000000"/>
        </w:rPr>
        <w:t xml:space="preserve">U-Report is a free and anonymous digital tool, created by UNICEF Global, where youth can freely and safely speak out on topics that are important to </w:t>
      </w:r>
      <w:r w:rsidR="00E810B0">
        <w:rPr>
          <w:color w:val="000000"/>
        </w:rPr>
        <w:t>them and their</w:t>
      </w:r>
      <w:r w:rsidRPr="00D052CD">
        <w:rPr>
          <w:color w:val="000000"/>
        </w:rPr>
        <w:t xml:space="preserve"> community. U-Report directly interacts wit</w:t>
      </w:r>
      <w:r w:rsidR="00E810B0">
        <w:rPr>
          <w:color w:val="000000"/>
        </w:rPr>
        <w:t>h all people ages 15 and higher</w:t>
      </w:r>
      <w:r w:rsidRPr="00D052CD">
        <w:rPr>
          <w:color w:val="000000"/>
        </w:rPr>
        <w:t xml:space="preserve"> who sign up to become U-Reporters for Kosovo by simply scanning a code via Facebook Messenger or Viber. These polls are focused on topics and challenges that are most relevant to U-Reporters in their respective communities, on impact assessment studies (before/after) and feedback from all U-Reporters across Kosovo or specific groups of U-Reporters. </w:t>
      </w:r>
    </w:p>
    <w:p w14:paraId="47C69B23" w14:textId="77777777" w:rsidR="00E810B0" w:rsidRDefault="00E810B0" w:rsidP="00B05D80">
      <w:pPr>
        <w:jc w:val="both"/>
        <w:rPr>
          <w:color w:val="000000"/>
        </w:rPr>
      </w:pPr>
    </w:p>
    <w:p w14:paraId="11700DD2" w14:textId="50DD7854" w:rsidR="00B05D80" w:rsidRPr="0073057C" w:rsidRDefault="004A33D0" w:rsidP="00B05D80">
      <w:pPr>
        <w:jc w:val="both"/>
        <w:rPr>
          <w:color w:val="000000"/>
        </w:rPr>
      </w:pPr>
      <w:r>
        <w:rPr>
          <w:color w:val="000000"/>
        </w:rPr>
        <w:t xml:space="preserve">With excellent internet and mobile coverage in Kosovo, </w:t>
      </w:r>
      <w:r w:rsidR="00B05D80" w:rsidRPr="00D052CD">
        <w:rPr>
          <w:color w:val="000000"/>
        </w:rPr>
        <w:t xml:space="preserve">U-Reporters will receive poll questions via Facebook Messenger or Viber. Upon answering poll questions, they can visit the U-Report website </w:t>
      </w:r>
      <w:r w:rsidR="00B05D80" w:rsidRPr="00D052CD">
        <w:rPr>
          <w:color w:val="000000"/>
        </w:rPr>
        <w:lastRenderedPageBreak/>
        <w:t xml:space="preserve">where all poll results are shared with the </w:t>
      </w:r>
      <w:proofErr w:type="gramStart"/>
      <w:r w:rsidR="00B05D80" w:rsidRPr="00D052CD">
        <w:rPr>
          <w:color w:val="000000"/>
        </w:rPr>
        <w:t>general public</w:t>
      </w:r>
      <w:proofErr w:type="gramEnd"/>
      <w:r w:rsidR="00B05D80" w:rsidRPr="00D052CD">
        <w:rPr>
          <w:color w:val="000000"/>
        </w:rPr>
        <w:t xml:space="preserve"> and can be analyzed and referenced. U-Report Kosovo uses the </w:t>
      </w:r>
      <w:proofErr w:type="spellStart"/>
      <w:r w:rsidR="00B05D80" w:rsidRPr="00D052CD">
        <w:rPr>
          <w:color w:val="000000"/>
        </w:rPr>
        <w:t>RapidPro</w:t>
      </w:r>
      <w:proofErr w:type="spellEnd"/>
      <w:r w:rsidR="00B05D80" w:rsidRPr="00D052CD">
        <w:rPr>
          <w:color w:val="000000"/>
        </w:rPr>
        <w:t xml:space="preserve"> platform, which enables fully-flexible monitoring and evaluation of any target group via U-Report channels and data can be programmed to auto-generate analytics and reports based on predetermined answer parameters (controlled environment), or it can be downloaded as raw data to enable various types of analysis and cross-examination. The benefit of using </w:t>
      </w:r>
      <w:proofErr w:type="spellStart"/>
      <w:r w:rsidR="00B05D80" w:rsidRPr="00D052CD">
        <w:rPr>
          <w:color w:val="000000"/>
        </w:rPr>
        <w:t>RapidPro</w:t>
      </w:r>
      <w:proofErr w:type="spellEnd"/>
      <w:r w:rsidR="00B05D80" w:rsidRPr="00D052CD">
        <w:rPr>
          <w:color w:val="000000"/>
        </w:rPr>
        <w:t xml:space="preserve"> and U-Report as a combination for feedback and impact assessment (before/after analysis), and as a source of real-time information from thousands of people, is unmatched in terms of time of data processing and availability of accurate results, and it also incurs less than 2% of private market costs for equal services.</w:t>
      </w:r>
      <w:r w:rsidR="00B05D80">
        <w:rPr>
          <w:color w:val="000000"/>
        </w:rPr>
        <w:t xml:space="preserve"> </w:t>
      </w:r>
      <w:r w:rsidR="00B05D80" w:rsidRPr="0073057C">
        <w:rPr>
          <w:color w:val="000000"/>
        </w:rPr>
        <w:t xml:space="preserve">Overall, </w:t>
      </w:r>
      <w:r w:rsidR="001B5321" w:rsidRPr="0073057C">
        <w:rPr>
          <w:color w:val="000000"/>
        </w:rPr>
        <w:t xml:space="preserve">the project </w:t>
      </w:r>
      <w:r w:rsidR="00C26B89" w:rsidRPr="0073057C">
        <w:rPr>
          <w:color w:val="000000"/>
        </w:rPr>
        <w:t>dedicates no less than 140,750 USD</w:t>
      </w:r>
      <w:r w:rsidR="001B5321" w:rsidRPr="0073057C">
        <w:rPr>
          <w:color w:val="000000"/>
        </w:rPr>
        <w:t xml:space="preserve"> </w:t>
      </w:r>
      <w:r w:rsidR="00C26B89" w:rsidRPr="0073057C">
        <w:rPr>
          <w:color w:val="000000"/>
        </w:rPr>
        <w:t xml:space="preserve">for monitoring activities. </w:t>
      </w:r>
    </w:p>
    <w:p w14:paraId="264D8353" w14:textId="5573F081" w:rsidR="00B05D80" w:rsidRPr="0073057C" w:rsidRDefault="00B05D80" w:rsidP="00B05D80">
      <w:pPr>
        <w:jc w:val="both"/>
        <w:rPr>
          <w:color w:val="000000"/>
        </w:rPr>
      </w:pPr>
    </w:p>
    <w:p w14:paraId="06B3D575" w14:textId="2F1C6FFC" w:rsidR="00B05D80" w:rsidRDefault="00B05D80" w:rsidP="00B05D80">
      <w:pPr>
        <w:jc w:val="both"/>
        <w:rPr>
          <w:color w:val="000000"/>
        </w:rPr>
      </w:pPr>
      <w:r w:rsidRPr="0073057C">
        <w:rPr>
          <w:color w:val="000000"/>
        </w:rPr>
        <w:t xml:space="preserve">Evaluation will be conducted in line with the standard UN Evaluation Group Norms and Standards and PBF specific M&amp;E and reporting guidelines. In the last quarter of the project, an external final evaluation will be conducted to assess the impact the project will have had, and collect lessons learned and recommendations for any future interventions. 25,000 USD is dedicated for this external evaluation. </w:t>
      </w:r>
      <w:r w:rsidR="00C26B89" w:rsidRPr="0073057C">
        <w:rPr>
          <w:color w:val="000000"/>
        </w:rPr>
        <w:t xml:space="preserve">In total, the M&amp;E budget for this project is 6%. </w:t>
      </w:r>
    </w:p>
    <w:p w14:paraId="3C1095DD" w14:textId="77777777" w:rsidR="00B05D80" w:rsidRPr="00F90356" w:rsidRDefault="00B05D80" w:rsidP="00B05D80">
      <w:pPr>
        <w:rPr>
          <w:b/>
          <w:highlight w:val="yellow"/>
        </w:rPr>
      </w:pPr>
    </w:p>
    <w:p w14:paraId="546D311B" w14:textId="77777777" w:rsidR="00803A9C" w:rsidRPr="004F164B" w:rsidRDefault="00803A9C" w:rsidP="00D570C5">
      <w:pPr>
        <w:pStyle w:val="ListParagraph"/>
        <w:rPr>
          <w:rFonts w:ascii="Times New Roman" w:hAnsi="Times New Roman"/>
          <w:sz w:val="24"/>
          <w:szCs w:val="24"/>
          <w:highlight w:val="cyan"/>
        </w:rPr>
      </w:pPr>
    </w:p>
    <w:p w14:paraId="7C01AFA6" w14:textId="705C6031" w:rsidR="00803A9C" w:rsidRPr="00E810B0" w:rsidRDefault="00803A9C" w:rsidP="00E810B0">
      <w:pPr>
        <w:pStyle w:val="ListParagraph"/>
        <w:numPr>
          <w:ilvl w:val="0"/>
          <w:numId w:val="8"/>
        </w:numPr>
        <w:jc w:val="both"/>
        <w:rPr>
          <w:rFonts w:ascii="Times New Roman" w:hAnsi="Times New Roman"/>
          <w:i/>
          <w:sz w:val="24"/>
          <w:szCs w:val="24"/>
        </w:rPr>
      </w:pPr>
      <w:r w:rsidRPr="00E810B0">
        <w:rPr>
          <w:rFonts w:ascii="Times New Roman" w:hAnsi="Times New Roman"/>
          <w:b/>
          <w:bCs/>
          <w:i/>
          <w:sz w:val="24"/>
          <w:szCs w:val="24"/>
        </w:rPr>
        <w:t>Project exit strategy/sustainability</w:t>
      </w:r>
      <w:r w:rsidRPr="00E810B0">
        <w:rPr>
          <w:rFonts w:ascii="Times New Roman" w:hAnsi="Times New Roman"/>
          <w:i/>
          <w:sz w:val="24"/>
          <w:szCs w:val="24"/>
        </w:rPr>
        <w:t xml:space="preserve"> – Briefly explain the project’s exit strategy to ensure that the project can be wrapped up at the end of the project duration, either through sustainability measures, agreements with other donors for follow-up funding or end of activities which do not need further support. If support from other donors is expected, explain what the project will do to try to ensure this support from the start.</w:t>
      </w:r>
    </w:p>
    <w:p w14:paraId="02B0FDF3" w14:textId="3173F969" w:rsidR="00521AF1" w:rsidRDefault="00521AF1" w:rsidP="00D570C5">
      <w:pPr>
        <w:rPr>
          <w:b/>
        </w:rPr>
      </w:pPr>
    </w:p>
    <w:p w14:paraId="7B706712" w14:textId="2DB643A3" w:rsidR="00D40237" w:rsidRPr="00D40237" w:rsidRDefault="0073057C" w:rsidP="00D40237">
      <w:pPr>
        <w:jc w:val="both"/>
      </w:pPr>
      <w:r>
        <w:t>Across outputs</w:t>
      </w:r>
      <w:r w:rsidR="00D40237" w:rsidRPr="00D40237">
        <w:t xml:space="preserve">, the focus on public dissemination provides a multiplier effect, by involvement of persons in a wider audience beyond the direct beneficiary target group. In outputs </w:t>
      </w:r>
      <w:r w:rsidR="00D40237">
        <w:t>1.</w:t>
      </w:r>
      <w:r w:rsidR="00D40237" w:rsidRPr="00D40237">
        <w:t xml:space="preserve">2 and </w:t>
      </w:r>
      <w:r w:rsidR="00D40237">
        <w:t>1.</w:t>
      </w:r>
      <w:r w:rsidR="00D40237" w:rsidRPr="00D40237">
        <w:t>3, by facilitating direct engagement between communities and the public institutions, it is anticipated that some beneficiaries will pursue institutional careers, which would nest community peacebuilders within the public institutions. In time this can be expected to exert positive influence on conflict-sensitive policy development and service delivery, which will in turn promote community-level social cohesion.</w:t>
      </w:r>
    </w:p>
    <w:p w14:paraId="222F24B6" w14:textId="77777777" w:rsidR="00D40237" w:rsidRPr="00D40237" w:rsidRDefault="00D40237" w:rsidP="00D40237">
      <w:pPr>
        <w:jc w:val="both"/>
      </w:pPr>
    </w:p>
    <w:p w14:paraId="6449F25B" w14:textId="423FE56A" w:rsidR="00C27B10" w:rsidRDefault="00D40237" w:rsidP="00D40237">
      <w:pPr>
        <w:jc w:val="both"/>
      </w:pPr>
      <w:r w:rsidRPr="00D40237">
        <w:t>For all outputs, activities have been designed in modular manner to make for easy scale-up, and where appropriate replication across different geographical target areas. Sustainability is intrinsic to the design of activities, with the development of beneficiaries as community advocates for peaceful cooperation. Thus, one output of this intervention serves as the nucleus of future peacebuilding initiatives.</w:t>
      </w:r>
    </w:p>
    <w:p w14:paraId="2850D885" w14:textId="77777777" w:rsidR="008A335A" w:rsidRPr="00D40237" w:rsidRDefault="008A335A" w:rsidP="00D40237">
      <w:pPr>
        <w:jc w:val="both"/>
      </w:pPr>
    </w:p>
    <w:p w14:paraId="20A60BD8" w14:textId="77777777" w:rsidR="003948DD" w:rsidRDefault="003948DD" w:rsidP="00D570C5">
      <w:pPr>
        <w:rPr>
          <w:b/>
        </w:rPr>
      </w:pPr>
    </w:p>
    <w:p w14:paraId="6EDC13B5" w14:textId="4EF50C16" w:rsidR="0056650A" w:rsidRDefault="0056650A" w:rsidP="00EF1B08">
      <w:pPr>
        <w:numPr>
          <w:ilvl w:val="0"/>
          <w:numId w:val="6"/>
        </w:numPr>
        <w:rPr>
          <w:b/>
        </w:rPr>
      </w:pPr>
      <w:r>
        <w:rPr>
          <w:b/>
        </w:rPr>
        <w:t xml:space="preserve">Project budget </w:t>
      </w:r>
    </w:p>
    <w:p w14:paraId="0BED0B61" w14:textId="77777777" w:rsidR="0056650A" w:rsidRDefault="0056650A" w:rsidP="00D570C5">
      <w:pPr>
        <w:rPr>
          <w:b/>
        </w:rPr>
      </w:pPr>
    </w:p>
    <w:p w14:paraId="1FDA4F33" w14:textId="255FF1D9" w:rsidR="00AC5592" w:rsidRPr="00E810B0" w:rsidRDefault="0056650A" w:rsidP="00E810B0">
      <w:pPr>
        <w:jc w:val="both"/>
        <w:rPr>
          <w:bCs/>
          <w:i/>
        </w:rPr>
      </w:pPr>
      <w:r w:rsidRPr="00E810B0">
        <w:rPr>
          <w:bCs/>
          <w:i/>
        </w:rPr>
        <w:t xml:space="preserve">Please provide </w:t>
      </w:r>
      <w:r w:rsidR="00A02C7A" w:rsidRPr="00E810B0">
        <w:rPr>
          <w:bCs/>
          <w:i/>
        </w:rPr>
        <w:t xml:space="preserve">a </w:t>
      </w:r>
      <w:r w:rsidR="008949A8" w:rsidRPr="00E810B0">
        <w:rPr>
          <w:bCs/>
          <w:i/>
        </w:rPr>
        <w:t xml:space="preserve">brief </w:t>
      </w:r>
      <w:r w:rsidR="00A02C7A" w:rsidRPr="00E810B0">
        <w:rPr>
          <w:bCs/>
          <w:i/>
        </w:rPr>
        <w:t>justification</w:t>
      </w:r>
      <w:r w:rsidRPr="00E810B0">
        <w:rPr>
          <w:b/>
          <w:bCs/>
          <w:i/>
        </w:rPr>
        <w:t xml:space="preserve"> </w:t>
      </w:r>
      <w:r w:rsidRPr="00E810B0">
        <w:rPr>
          <w:i/>
        </w:rPr>
        <w:t>for the proposed budget</w:t>
      </w:r>
      <w:r w:rsidR="00AC5592" w:rsidRPr="00E810B0">
        <w:rPr>
          <w:bCs/>
          <w:i/>
        </w:rPr>
        <w:t>, highlighting any specific choices that have und</w:t>
      </w:r>
      <w:r w:rsidR="00A02C7A" w:rsidRPr="00E810B0">
        <w:rPr>
          <w:bCs/>
          <w:i/>
        </w:rPr>
        <w:t xml:space="preserve">erpinned the budget preparation, especially </w:t>
      </w:r>
      <w:r w:rsidR="00AC5592" w:rsidRPr="00E810B0">
        <w:rPr>
          <w:bCs/>
          <w:i/>
        </w:rPr>
        <w:t>for personnel, travel or</w:t>
      </w:r>
      <w:r w:rsidR="00A02C7A" w:rsidRPr="00E810B0">
        <w:rPr>
          <w:bCs/>
          <w:i/>
        </w:rPr>
        <w:t xml:space="preserve"> other indirect project support, to demonstrate value for money for the project.</w:t>
      </w:r>
      <w:r w:rsidR="00AE3EFB" w:rsidRPr="00E810B0">
        <w:rPr>
          <w:bCs/>
          <w:i/>
        </w:rPr>
        <w:t xml:space="preserve"> </w:t>
      </w:r>
      <w:r w:rsidR="000F510B" w:rsidRPr="00E810B0">
        <w:rPr>
          <w:bCs/>
          <w:i/>
        </w:rPr>
        <w:t xml:space="preserve">Proposed budget for all projects must include funds for independent evaluation. </w:t>
      </w:r>
      <w:r w:rsidR="00000F10" w:rsidRPr="00E810B0">
        <w:rPr>
          <w:bCs/>
          <w:i/>
        </w:rPr>
        <w:t>Proposed budget for p</w:t>
      </w:r>
      <w:r w:rsidR="00AE3EFB" w:rsidRPr="00E810B0">
        <w:rPr>
          <w:bCs/>
          <w:i/>
        </w:rPr>
        <w:t xml:space="preserve">rojects involving </w:t>
      </w:r>
      <w:r w:rsidR="000F510B" w:rsidRPr="00E810B0">
        <w:rPr>
          <w:bCs/>
          <w:i/>
        </w:rPr>
        <w:t>non-UN direct recipients</w:t>
      </w:r>
      <w:r w:rsidR="00AE3EFB" w:rsidRPr="00E810B0">
        <w:rPr>
          <w:bCs/>
          <w:i/>
        </w:rPr>
        <w:t xml:space="preserve"> </w:t>
      </w:r>
      <w:r w:rsidR="00000F10" w:rsidRPr="00E810B0">
        <w:rPr>
          <w:bCs/>
          <w:i/>
        </w:rPr>
        <w:t xml:space="preserve">must include </w:t>
      </w:r>
      <w:r w:rsidR="000F510B" w:rsidRPr="00E810B0">
        <w:rPr>
          <w:bCs/>
          <w:i/>
        </w:rPr>
        <w:t>funds</w:t>
      </w:r>
      <w:r w:rsidR="00000F10" w:rsidRPr="00E810B0">
        <w:rPr>
          <w:bCs/>
          <w:i/>
        </w:rPr>
        <w:t xml:space="preserve"> for independent audit. </w:t>
      </w:r>
    </w:p>
    <w:p w14:paraId="69B1F895" w14:textId="77777777" w:rsidR="00AE3EFB" w:rsidRPr="00E810B0" w:rsidRDefault="00AE3EFB" w:rsidP="00D570C5">
      <w:pPr>
        <w:rPr>
          <w:bCs/>
          <w:i/>
        </w:rPr>
      </w:pPr>
    </w:p>
    <w:p w14:paraId="16501622" w14:textId="77777777" w:rsidR="0056650A" w:rsidRPr="00E810B0" w:rsidRDefault="00AC5592" w:rsidP="00D570C5">
      <w:pPr>
        <w:rPr>
          <w:bCs/>
          <w:i/>
        </w:rPr>
      </w:pPr>
      <w:r w:rsidRPr="00E810B0">
        <w:rPr>
          <w:bCs/>
          <w:i/>
        </w:rPr>
        <w:t xml:space="preserve">Fill out two tables </w:t>
      </w:r>
      <w:r w:rsidR="00A02C7A" w:rsidRPr="00E810B0">
        <w:rPr>
          <w:bCs/>
          <w:i/>
        </w:rPr>
        <w:t xml:space="preserve">in the Excel budget </w:t>
      </w:r>
      <w:r w:rsidR="00A02C7A" w:rsidRPr="00E810B0">
        <w:rPr>
          <w:b/>
          <w:i/>
        </w:rPr>
        <w:t>Annex</w:t>
      </w:r>
      <w:r w:rsidR="009A1657" w:rsidRPr="00E810B0">
        <w:rPr>
          <w:b/>
          <w:i/>
        </w:rPr>
        <w:t xml:space="preserve"> D</w:t>
      </w:r>
      <w:r w:rsidR="00A02C7A" w:rsidRPr="00E810B0">
        <w:rPr>
          <w:bCs/>
          <w:i/>
        </w:rPr>
        <w:t>.</w:t>
      </w:r>
    </w:p>
    <w:p w14:paraId="73CDB546" w14:textId="0BE3470B" w:rsidR="00BE5629" w:rsidRDefault="00BE5629" w:rsidP="00D570C5">
      <w:pPr>
        <w:numPr>
          <w:ilvl w:val="12"/>
          <w:numId w:val="0"/>
        </w:numPr>
        <w:tabs>
          <w:tab w:val="left" w:pos="-720"/>
          <w:tab w:val="left" w:pos="4500"/>
        </w:tabs>
        <w:suppressAutoHyphens/>
        <w:jc w:val="both"/>
        <w:rPr>
          <w:spacing w:val="-3"/>
          <w:sz w:val="22"/>
          <w:szCs w:val="22"/>
        </w:rPr>
      </w:pPr>
    </w:p>
    <w:p w14:paraId="29291EB5" w14:textId="77777777" w:rsidR="00BE5629" w:rsidRDefault="00BE5629">
      <w:pPr>
        <w:rPr>
          <w:spacing w:val="-3"/>
          <w:sz w:val="22"/>
          <w:szCs w:val="22"/>
        </w:rPr>
      </w:pPr>
      <w:r>
        <w:rPr>
          <w:spacing w:val="-3"/>
          <w:sz w:val="22"/>
          <w:szCs w:val="22"/>
        </w:rPr>
        <w:br w:type="page"/>
      </w:r>
    </w:p>
    <w:p w14:paraId="35B02C6D" w14:textId="77777777" w:rsidR="00D439BF" w:rsidRDefault="00D439BF" w:rsidP="00D570C5">
      <w:pPr>
        <w:numPr>
          <w:ilvl w:val="12"/>
          <w:numId w:val="0"/>
        </w:numPr>
        <w:tabs>
          <w:tab w:val="left" w:pos="-720"/>
          <w:tab w:val="left" w:pos="4500"/>
        </w:tabs>
        <w:suppressAutoHyphens/>
        <w:jc w:val="both"/>
        <w:rPr>
          <w:b/>
          <w:spacing w:val="-3"/>
          <w:sz w:val="22"/>
          <w:szCs w:val="22"/>
        </w:rPr>
      </w:pPr>
    </w:p>
    <w:p w14:paraId="4E8E04C7" w14:textId="0CD59D65" w:rsidR="00CD2D34" w:rsidRDefault="00226E48" w:rsidP="00D570C5">
      <w:bookmarkStart w:id="5" w:name="_Hlk512345500"/>
      <w:r>
        <w:rPr>
          <w:b/>
          <w:spacing w:val="-3"/>
          <w:sz w:val="22"/>
          <w:szCs w:val="22"/>
          <w:u w:val="single"/>
        </w:rPr>
        <w:t xml:space="preserve">Annex </w:t>
      </w:r>
      <w:r w:rsidRPr="004D5B3D">
        <w:rPr>
          <w:b/>
          <w:spacing w:val="-3"/>
          <w:sz w:val="22"/>
          <w:szCs w:val="22"/>
          <w:u w:val="single"/>
        </w:rPr>
        <w:t>A</w:t>
      </w:r>
      <w:r w:rsidR="00CD2D34" w:rsidRPr="004D5B3D">
        <w:rPr>
          <w:b/>
          <w:spacing w:val="-3"/>
          <w:sz w:val="22"/>
          <w:szCs w:val="22"/>
          <w:u w:val="single"/>
        </w:rPr>
        <w:t>.1</w:t>
      </w:r>
      <w:r w:rsidR="006629A5" w:rsidRPr="004D5B3D">
        <w:rPr>
          <w:b/>
        </w:rPr>
        <w:t>:</w:t>
      </w:r>
      <w:r>
        <w:rPr>
          <w:b/>
        </w:rPr>
        <w:t xml:space="preserve"> </w:t>
      </w:r>
      <w:r w:rsidR="00A02C7A">
        <w:rPr>
          <w:b/>
        </w:rPr>
        <w:t xml:space="preserve">Project </w:t>
      </w:r>
      <w:r w:rsidR="00A02C7A" w:rsidRPr="00A02C7A">
        <w:rPr>
          <w:b/>
        </w:rPr>
        <w:t>Administrative arrangements</w:t>
      </w:r>
      <w:r w:rsidR="00CD2D34">
        <w:t xml:space="preserve"> </w:t>
      </w:r>
      <w:r w:rsidR="00CD2D34" w:rsidRPr="00CD2D34">
        <w:rPr>
          <w:b/>
          <w:bCs/>
        </w:rPr>
        <w:t xml:space="preserve">for </w:t>
      </w:r>
      <w:r w:rsidR="004D5B3D">
        <w:rPr>
          <w:b/>
          <w:bCs/>
        </w:rPr>
        <w:t>UN Recipient Organizations</w:t>
      </w:r>
      <w:r w:rsidR="00CD2D34">
        <w:t xml:space="preserve"> </w:t>
      </w:r>
    </w:p>
    <w:p w14:paraId="4E54F880" w14:textId="77777777" w:rsidR="004D5B3D" w:rsidRDefault="004D5B3D" w:rsidP="00D570C5"/>
    <w:p w14:paraId="29A2E37E" w14:textId="70C4F0C0" w:rsidR="00A02C7A" w:rsidRPr="004D5B3D" w:rsidRDefault="00A02C7A" w:rsidP="00D570C5">
      <w:pPr>
        <w:rPr>
          <w:i/>
          <w:iCs/>
        </w:rPr>
      </w:pPr>
      <w:r w:rsidRPr="004D5B3D">
        <w:rPr>
          <w:i/>
          <w:iCs/>
        </w:rPr>
        <w:t>(This section uses standard wording – please do not remove)</w:t>
      </w:r>
    </w:p>
    <w:p w14:paraId="68FE304A" w14:textId="77777777" w:rsidR="00A02C7A" w:rsidRDefault="00A02C7A" w:rsidP="00D570C5">
      <w:pPr>
        <w:jc w:val="both"/>
        <w:rPr>
          <w:sz w:val="22"/>
          <w:szCs w:val="22"/>
        </w:rPr>
      </w:pPr>
    </w:p>
    <w:p w14:paraId="7A8F66B6" w14:textId="77777777" w:rsidR="00A02C7A" w:rsidRPr="00532D31" w:rsidRDefault="00A02C7A" w:rsidP="00D570C5">
      <w:pPr>
        <w:jc w:val="both"/>
        <w:rPr>
          <w:sz w:val="22"/>
          <w:szCs w:val="22"/>
        </w:rPr>
      </w:pPr>
      <w:r w:rsidRPr="00532D31">
        <w:rPr>
          <w:sz w:val="22"/>
          <w:szCs w:val="22"/>
        </w:rPr>
        <w:t>The UNDP MPTF Office serves as the Administrative Agent</w:t>
      </w:r>
      <w:r>
        <w:rPr>
          <w:sz w:val="22"/>
          <w:szCs w:val="22"/>
        </w:rPr>
        <w:t xml:space="preserve"> (AA)</w:t>
      </w:r>
      <w:r w:rsidRPr="00532D31">
        <w:rPr>
          <w:sz w:val="22"/>
          <w:szCs w:val="22"/>
        </w:rPr>
        <w:t xml:space="preserve"> of the PBF and is responsible for the receipt of donor contributions, the transfer of fu</w:t>
      </w:r>
      <w:r>
        <w:rPr>
          <w:sz w:val="22"/>
          <w:szCs w:val="22"/>
        </w:rPr>
        <w:t>nds to Recipient UN O</w:t>
      </w:r>
      <w:r w:rsidRPr="00532D31">
        <w:rPr>
          <w:sz w:val="22"/>
          <w:szCs w:val="22"/>
        </w:rPr>
        <w:t xml:space="preserve">rganizations, the consolidation of narrative and financial reports and the submission of these to </w:t>
      </w:r>
      <w:r>
        <w:rPr>
          <w:sz w:val="22"/>
          <w:szCs w:val="22"/>
        </w:rPr>
        <w:t xml:space="preserve">the </w:t>
      </w:r>
      <w:r w:rsidRPr="00532D31">
        <w:rPr>
          <w:sz w:val="22"/>
          <w:szCs w:val="22"/>
        </w:rPr>
        <w:t>PBSO and</w:t>
      </w:r>
      <w:r>
        <w:rPr>
          <w:sz w:val="22"/>
          <w:szCs w:val="22"/>
        </w:rPr>
        <w:t xml:space="preserve"> the PBF donors. As the Administrative Agent of the PBF, MPTF </w:t>
      </w:r>
      <w:r w:rsidRPr="00532D31">
        <w:rPr>
          <w:sz w:val="22"/>
          <w:szCs w:val="22"/>
        </w:rPr>
        <w:t xml:space="preserve">Office transfers funds to </w:t>
      </w:r>
      <w:r>
        <w:rPr>
          <w:sz w:val="22"/>
          <w:szCs w:val="22"/>
        </w:rPr>
        <w:t xml:space="preserve">RUNOS on the basis of the </w:t>
      </w:r>
      <w:hyperlink r:id="rId13" w:history="1">
        <w:r w:rsidRPr="00EF6D0D">
          <w:rPr>
            <w:rStyle w:val="Hyperlink"/>
            <w:color w:val="auto"/>
            <w:sz w:val="22"/>
            <w:szCs w:val="22"/>
          </w:rPr>
          <w:t>signed Memorandum of Understanding</w:t>
        </w:r>
      </w:hyperlink>
      <w:r w:rsidRPr="00EF6D0D">
        <w:rPr>
          <w:sz w:val="22"/>
          <w:szCs w:val="22"/>
        </w:rPr>
        <w:t xml:space="preserve"> </w:t>
      </w:r>
      <w:r w:rsidRPr="00532D31">
        <w:rPr>
          <w:sz w:val="22"/>
          <w:szCs w:val="22"/>
        </w:rPr>
        <w:t xml:space="preserve">between each RUNO and </w:t>
      </w:r>
      <w:r>
        <w:rPr>
          <w:sz w:val="22"/>
          <w:szCs w:val="22"/>
        </w:rPr>
        <w:t xml:space="preserve">the </w:t>
      </w:r>
      <w:r w:rsidRPr="00532D31">
        <w:rPr>
          <w:sz w:val="22"/>
          <w:szCs w:val="22"/>
        </w:rPr>
        <w:t>MPTF</w:t>
      </w:r>
      <w:r>
        <w:rPr>
          <w:sz w:val="22"/>
          <w:szCs w:val="22"/>
        </w:rPr>
        <w:t xml:space="preserve"> </w:t>
      </w:r>
      <w:r w:rsidRPr="00532D31">
        <w:rPr>
          <w:sz w:val="22"/>
          <w:szCs w:val="22"/>
        </w:rPr>
        <w:t>Office.</w:t>
      </w:r>
    </w:p>
    <w:p w14:paraId="6A646088" w14:textId="77777777" w:rsidR="00A02C7A" w:rsidRDefault="00A02C7A" w:rsidP="00D570C5">
      <w:pPr>
        <w:autoSpaceDE w:val="0"/>
        <w:autoSpaceDN w:val="0"/>
        <w:adjustRightInd w:val="0"/>
        <w:rPr>
          <w:rFonts w:ascii="TimesNewRomanPS-BoldMT" w:hAnsi="TimesNewRomanPS-BoldMT" w:cs="TimesNewRomanPS-BoldMT"/>
          <w:b/>
          <w:bCs/>
          <w:color w:val="000000"/>
          <w:sz w:val="23"/>
          <w:szCs w:val="23"/>
        </w:rPr>
      </w:pPr>
    </w:p>
    <w:p w14:paraId="27D82A88" w14:textId="77777777" w:rsidR="00A02C7A" w:rsidRPr="00B31884" w:rsidRDefault="00A02C7A" w:rsidP="00D570C5">
      <w:pPr>
        <w:tabs>
          <w:tab w:val="left" w:pos="-720"/>
          <w:tab w:val="left" w:pos="4500"/>
        </w:tabs>
        <w:suppressAutoHyphens/>
        <w:jc w:val="both"/>
        <w:rPr>
          <w:b/>
          <w:spacing w:val="-3"/>
          <w:sz w:val="22"/>
          <w:szCs w:val="22"/>
        </w:rPr>
      </w:pPr>
      <w:r w:rsidRPr="00B31884">
        <w:rPr>
          <w:b/>
          <w:spacing w:val="-3"/>
          <w:sz w:val="22"/>
          <w:szCs w:val="22"/>
        </w:rPr>
        <w:t>AA Functions</w:t>
      </w:r>
    </w:p>
    <w:p w14:paraId="2AE4772D" w14:textId="77777777" w:rsidR="00A02C7A" w:rsidRPr="00B92FF3" w:rsidRDefault="00A02C7A" w:rsidP="00D570C5">
      <w:pPr>
        <w:tabs>
          <w:tab w:val="left" w:pos="-720"/>
          <w:tab w:val="left" w:pos="4500"/>
        </w:tabs>
        <w:suppressAutoHyphens/>
        <w:ind w:left="720"/>
        <w:jc w:val="both"/>
        <w:rPr>
          <w:spacing w:val="-3"/>
          <w:sz w:val="22"/>
          <w:szCs w:val="22"/>
        </w:rPr>
      </w:pPr>
    </w:p>
    <w:p w14:paraId="19BCD609" w14:textId="77777777" w:rsidR="00A02C7A" w:rsidRPr="00C57787" w:rsidRDefault="00A02C7A" w:rsidP="00D570C5">
      <w:pPr>
        <w:jc w:val="both"/>
        <w:rPr>
          <w:sz w:val="22"/>
          <w:szCs w:val="22"/>
        </w:rPr>
      </w:pPr>
      <w:r w:rsidRPr="00C57787">
        <w:rPr>
          <w:sz w:val="22"/>
          <w:szCs w:val="22"/>
        </w:rPr>
        <w:t xml:space="preserve">On behalf of the </w:t>
      </w:r>
      <w:r>
        <w:rPr>
          <w:sz w:val="22"/>
          <w:szCs w:val="22"/>
        </w:rPr>
        <w:t xml:space="preserve">Recipient </w:t>
      </w:r>
      <w:r w:rsidRPr="00C57787">
        <w:rPr>
          <w:sz w:val="22"/>
          <w:szCs w:val="22"/>
        </w:rPr>
        <w:t xml:space="preserve">Organizations, and in accordance with the UNDG-approved “Protocol on the Administrative Agent for Multi Donor Trust Funds and Joint </w:t>
      </w:r>
      <w:proofErr w:type="spellStart"/>
      <w:r w:rsidRPr="00C57787">
        <w:rPr>
          <w:sz w:val="22"/>
          <w:szCs w:val="22"/>
        </w:rPr>
        <w:t>Programmes</w:t>
      </w:r>
      <w:proofErr w:type="spellEnd"/>
      <w:r w:rsidRPr="00C57787">
        <w:rPr>
          <w:sz w:val="22"/>
          <w:szCs w:val="22"/>
        </w:rPr>
        <w:t>, and One UN funds” (2008), the MPTF Office as the AA of the PBF will:</w:t>
      </w:r>
    </w:p>
    <w:p w14:paraId="7C6BE531" w14:textId="77777777" w:rsidR="00A02C7A" w:rsidRDefault="00A02C7A" w:rsidP="00D570C5">
      <w:pPr>
        <w:jc w:val="both"/>
        <w:rPr>
          <w:rFonts w:cs="Times"/>
        </w:rPr>
      </w:pPr>
    </w:p>
    <w:p w14:paraId="52448568" w14:textId="77777777" w:rsidR="00A02C7A" w:rsidRPr="007423F9" w:rsidRDefault="00A02C7A" w:rsidP="00EF1B08">
      <w:pPr>
        <w:numPr>
          <w:ilvl w:val="0"/>
          <w:numId w:val="3"/>
        </w:numPr>
        <w:autoSpaceDE w:val="0"/>
        <w:autoSpaceDN w:val="0"/>
        <w:adjustRightInd w:val="0"/>
        <w:spacing w:after="120"/>
        <w:jc w:val="both"/>
        <w:rPr>
          <w:rFonts w:cs="Times"/>
        </w:rPr>
      </w:pPr>
      <w:r w:rsidRPr="00C57787">
        <w:rPr>
          <w:sz w:val="22"/>
          <w:szCs w:val="22"/>
        </w:rPr>
        <w:t>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concerned;</w:t>
      </w:r>
    </w:p>
    <w:p w14:paraId="29BEC352" w14:textId="2D33F814" w:rsidR="00A02C7A" w:rsidRDefault="00A02C7A" w:rsidP="00EF1B08">
      <w:pPr>
        <w:numPr>
          <w:ilvl w:val="0"/>
          <w:numId w:val="3"/>
        </w:numPr>
        <w:autoSpaceDE w:val="0"/>
        <w:autoSpaceDN w:val="0"/>
        <w:adjustRightInd w:val="0"/>
        <w:spacing w:after="120"/>
        <w:jc w:val="both"/>
        <w:rPr>
          <w:sz w:val="22"/>
          <w:szCs w:val="22"/>
        </w:rPr>
      </w:pPr>
      <w:r w:rsidRPr="00C57787">
        <w:rPr>
          <w:sz w:val="22"/>
          <w:szCs w:val="22"/>
        </w:rPr>
        <w:t xml:space="preserve">Consolidate </w:t>
      </w:r>
      <w:proofErr w:type="gramStart"/>
      <w:r w:rsidR="00130586">
        <w:rPr>
          <w:sz w:val="22"/>
          <w:szCs w:val="22"/>
        </w:rPr>
        <w:t xml:space="preserve">the </w:t>
      </w:r>
      <w:r w:rsidRPr="00C57787">
        <w:rPr>
          <w:sz w:val="22"/>
          <w:szCs w:val="22"/>
        </w:rPr>
        <w:t xml:space="preserve"> financial</w:t>
      </w:r>
      <w:proofErr w:type="gramEnd"/>
      <w:r w:rsidRPr="00C57787">
        <w:rPr>
          <w:sz w:val="22"/>
          <w:szCs w:val="22"/>
        </w:rPr>
        <w:t xml:space="preserve"> statements (Annual and Final), based on submissions provided to the AA by RUNOS </w:t>
      </w:r>
      <w:r>
        <w:rPr>
          <w:sz w:val="22"/>
          <w:szCs w:val="22"/>
        </w:rPr>
        <w:t xml:space="preserve">and provide the PBF </w:t>
      </w:r>
      <w:r w:rsidR="00130586">
        <w:rPr>
          <w:sz w:val="22"/>
          <w:szCs w:val="22"/>
        </w:rPr>
        <w:t xml:space="preserve">annual </w:t>
      </w:r>
      <w:r>
        <w:rPr>
          <w:sz w:val="22"/>
          <w:szCs w:val="22"/>
        </w:rPr>
        <w:t>consolidated progress reports to the donors and the PBSO;</w:t>
      </w:r>
    </w:p>
    <w:p w14:paraId="1657E0C8" w14:textId="58932148" w:rsidR="00A02C7A" w:rsidRDefault="00A02C7A" w:rsidP="00EF1B08">
      <w:pPr>
        <w:numPr>
          <w:ilvl w:val="0"/>
          <w:numId w:val="3"/>
        </w:numPr>
        <w:autoSpaceDE w:val="0"/>
        <w:autoSpaceDN w:val="0"/>
        <w:adjustRightInd w:val="0"/>
        <w:spacing w:after="120"/>
        <w:jc w:val="both"/>
        <w:rPr>
          <w:sz w:val="22"/>
          <w:szCs w:val="22"/>
        </w:rPr>
      </w:pPr>
      <w:r w:rsidRPr="00C57787">
        <w:rPr>
          <w:sz w:val="22"/>
          <w:szCs w:val="22"/>
        </w:rPr>
        <w:t xml:space="preserve">Proceed with the operational and financial closure of the project in the MPTF Office system once the completion is </w:t>
      </w:r>
      <w:r w:rsidR="00130586">
        <w:rPr>
          <w:sz w:val="22"/>
          <w:szCs w:val="22"/>
        </w:rPr>
        <w:t>completed</w:t>
      </w:r>
      <w:r w:rsidR="00130586" w:rsidRPr="00C57787">
        <w:rPr>
          <w:sz w:val="22"/>
          <w:szCs w:val="22"/>
        </w:rPr>
        <w:t xml:space="preserve"> </w:t>
      </w:r>
      <w:r w:rsidRPr="00C57787">
        <w:rPr>
          <w:sz w:val="22"/>
          <w:szCs w:val="22"/>
        </w:rPr>
        <w:t>by the RUNO</w:t>
      </w:r>
      <w:r w:rsidR="00130586">
        <w:rPr>
          <w:sz w:val="22"/>
          <w:szCs w:val="22"/>
        </w:rPr>
        <w:t xml:space="preserve">. A project will be considered as operationally closed upon submission of a joint </w:t>
      </w:r>
      <w:r w:rsidRPr="00C57787">
        <w:rPr>
          <w:sz w:val="22"/>
          <w:szCs w:val="22"/>
        </w:rPr>
        <w:t>final narrative report</w:t>
      </w:r>
      <w:r w:rsidR="00130586">
        <w:rPr>
          <w:sz w:val="22"/>
          <w:szCs w:val="22"/>
        </w:rPr>
        <w:t>. In order for the MPTF Office to financially closed a project, each RUNO must refund unspent balance of over 250 USD</w:t>
      </w:r>
      <w:r w:rsidRPr="00C57787">
        <w:rPr>
          <w:sz w:val="22"/>
          <w:szCs w:val="22"/>
        </w:rPr>
        <w:t xml:space="preserve">, </w:t>
      </w:r>
      <w:r w:rsidR="00130586" w:rsidRPr="00130586">
        <w:rPr>
          <w:sz w:val="22"/>
          <w:szCs w:val="22"/>
        </w:rPr>
        <w:t>indirect cost (GMS) should not exceed 7% and submission of a certified final financial statement by the recipient organizati</w:t>
      </w:r>
      <w:r w:rsidR="00130586">
        <w:rPr>
          <w:sz w:val="22"/>
          <w:szCs w:val="22"/>
        </w:rPr>
        <w:t>ons’ headquarters</w:t>
      </w:r>
      <w:proofErr w:type="gramStart"/>
      <w:r w:rsidR="00130586">
        <w:rPr>
          <w:sz w:val="22"/>
          <w:szCs w:val="22"/>
        </w:rPr>
        <w:t xml:space="preserve">. </w:t>
      </w:r>
      <w:r w:rsidRPr="00C57787">
        <w:rPr>
          <w:sz w:val="22"/>
          <w:szCs w:val="22"/>
        </w:rPr>
        <w:t>)</w:t>
      </w:r>
      <w:proofErr w:type="gramEnd"/>
      <w:r w:rsidRPr="00C57787">
        <w:rPr>
          <w:sz w:val="22"/>
          <w:szCs w:val="22"/>
        </w:rPr>
        <w:t>;</w:t>
      </w:r>
    </w:p>
    <w:p w14:paraId="445710C7" w14:textId="77777777" w:rsidR="00A02C7A" w:rsidRPr="002D1EC1" w:rsidRDefault="00A02C7A" w:rsidP="00EF1B08">
      <w:pPr>
        <w:numPr>
          <w:ilvl w:val="0"/>
          <w:numId w:val="3"/>
        </w:numPr>
        <w:autoSpaceDE w:val="0"/>
        <w:autoSpaceDN w:val="0"/>
        <w:adjustRightInd w:val="0"/>
        <w:spacing w:after="120"/>
        <w:jc w:val="both"/>
        <w:rPr>
          <w:sz w:val="22"/>
          <w:szCs w:val="22"/>
        </w:rPr>
      </w:pPr>
      <w:r w:rsidRPr="00C57787">
        <w:rPr>
          <w:sz w:val="22"/>
          <w:szCs w:val="22"/>
        </w:rPr>
        <w:t xml:space="preserve">Disburse funds to any RUNO for any costs extension that the PBSO may decide in accordance with the PBF rules &amp; regulations.  </w:t>
      </w:r>
    </w:p>
    <w:p w14:paraId="5B2B7E01" w14:textId="77777777" w:rsidR="00A02C7A" w:rsidRDefault="00A02C7A" w:rsidP="00D570C5">
      <w:pPr>
        <w:jc w:val="both"/>
        <w:rPr>
          <w:b/>
          <w:sz w:val="22"/>
          <w:szCs w:val="22"/>
        </w:rPr>
      </w:pPr>
    </w:p>
    <w:p w14:paraId="2E8DD2CB" w14:textId="77777777" w:rsidR="00A02C7A" w:rsidRPr="00AA70E5" w:rsidRDefault="00A02C7A" w:rsidP="00D570C5">
      <w:pPr>
        <w:jc w:val="both"/>
        <w:rPr>
          <w:b/>
          <w:sz w:val="22"/>
          <w:szCs w:val="22"/>
        </w:rPr>
      </w:pPr>
      <w:r>
        <w:rPr>
          <w:b/>
          <w:sz w:val="22"/>
          <w:szCs w:val="22"/>
        </w:rPr>
        <w:t xml:space="preserve">Accountability, transparency and reporting </w:t>
      </w:r>
      <w:r w:rsidRPr="00AA70E5">
        <w:rPr>
          <w:b/>
          <w:sz w:val="22"/>
          <w:szCs w:val="22"/>
        </w:rPr>
        <w:t xml:space="preserve">of the </w:t>
      </w:r>
      <w:r>
        <w:rPr>
          <w:b/>
          <w:sz w:val="22"/>
          <w:szCs w:val="22"/>
        </w:rPr>
        <w:t xml:space="preserve">Recipient United Nations </w:t>
      </w:r>
      <w:r w:rsidRPr="00AA70E5">
        <w:rPr>
          <w:b/>
          <w:sz w:val="22"/>
          <w:szCs w:val="22"/>
        </w:rPr>
        <w:t>Organizations</w:t>
      </w:r>
    </w:p>
    <w:p w14:paraId="11DC74D7" w14:textId="77777777" w:rsidR="00A02C7A" w:rsidRDefault="00A02C7A" w:rsidP="00D570C5">
      <w:pPr>
        <w:jc w:val="both"/>
        <w:rPr>
          <w:b/>
          <w:sz w:val="22"/>
          <w:szCs w:val="22"/>
        </w:rPr>
      </w:pPr>
    </w:p>
    <w:p w14:paraId="517B0D55" w14:textId="77777777" w:rsidR="00A02C7A" w:rsidRPr="00C57787" w:rsidRDefault="00A02C7A" w:rsidP="00D570C5">
      <w:pPr>
        <w:widowControl w:val="0"/>
        <w:autoSpaceDE w:val="0"/>
        <w:autoSpaceDN w:val="0"/>
        <w:adjustRightInd w:val="0"/>
        <w:jc w:val="both"/>
        <w:rPr>
          <w:sz w:val="22"/>
          <w:szCs w:val="22"/>
        </w:rPr>
      </w:pPr>
      <w:r>
        <w:rPr>
          <w:sz w:val="22"/>
          <w:szCs w:val="22"/>
        </w:rPr>
        <w:t>Recipient</w:t>
      </w:r>
      <w:r w:rsidRPr="00C57787">
        <w:rPr>
          <w:sz w:val="22"/>
          <w:szCs w:val="22"/>
        </w:rPr>
        <w:t xml:space="preserve"> United Nations Organizations will assume full programmatic and financial accountability for the funds disbursed to them by the Administrative Agent. Such funds will be administered by each RUNO in accordance with its own regulations, rules, directives and procedures.</w:t>
      </w:r>
    </w:p>
    <w:p w14:paraId="78BB5CAD" w14:textId="77777777" w:rsidR="00A02C7A" w:rsidRPr="00C57787" w:rsidRDefault="00A02C7A" w:rsidP="00D570C5">
      <w:pPr>
        <w:widowControl w:val="0"/>
        <w:autoSpaceDE w:val="0"/>
        <w:autoSpaceDN w:val="0"/>
        <w:adjustRightInd w:val="0"/>
        <w:jc w:val="both"/>
        <w:rPr>
          <w:sz w:val="22"/>
          <w:szCs w:val="22"/>
        </w:rPr>
      </w:pPr>
    </w:p>
    <w:p w14:paraId="46DF6124" w14:textId="77777777" w:rsidR="00A02C7A" w:rsidRPr="00C57787" w:rsidRDefault="00A02C7A" w:rsidP="00D570C5">
      <w:pPr>
        <w:widowControl w:val="0"/>
        <w:autoSpaceDE w:val="0"/>
        <w:autoSpaceDN w:val="0"/>
        <w:adjustRightInd w:val="0"/>
        <w:jc w:val="both"/>
        <w:rPr>
          <w:sz w:val="22"/>
          <w:szCs w:val="22"/>
        </w:rPr>
      </w:pPr>
      <w:r w:rsidRPr="00C57787">
        <w:rPr>
          <w:sz w:val="22"/>
          <w:szCs w:val="22"/>
        </w:rPr>
        <w:t>Each RUNO shall establish a separate ledger account for the receipt and administration of the funds disbursed to it by the Administrative Agent from the PBF account. This separate ledger account shall be administered by each RUNO in accordance with its own regulations, rules, directives and procedures, including those relating to interest.</w:t>
      </w:r>
      <w:r>
        <w:rPr>
          <w:sz w:val="22"/>
          <w:szCs w:val="22"/>
        </w:rPr>
        <w:t xml:space="preserve"> </w:t>
      </w:r>
      <w:r w:rsidRPr="00C57787">
        <w:rPr>
          <w:sz w:val="22"/>
          <w:szCs w:val="22"/>
        </w:rPr>
        <w:t>The separate ledger account shall be subject exclusively to the internal and external auditing procedures laid down in the financial regulations, rules, directives and procedures applicable to the RUNO.</w:t>
      </w:r>
    </w:p>
    <w:p w14:paraId="029E8B82" w14:textId="77777777" w:rsidR="00A02C7A" w:rsidRPr="00C57787" w:rsidRDefault="00A02C7A" w:rsidP="00D570C5">
      <w:pPr>
        <w:jc w:val="both"/>
        <w:rPr>
          <w:sz w:val="22"/>
          <w:szCs w:val="22"/>
        </w:rPr>
      </w:pPr>
    </w:p>
    <w:p w14:paraId="175A9D25" w14:textId="427D4E21" w:rsidR="00A02C7A" w:rsidRDefault="00A02C7A" w:rsidP="00D570C5">
      <w:pPr>
        <w:widowControl w:val="0"/>
        <w:autoSpaceDE w:val="0"/>
        <w:autoSpaceDN w:val="0"/>
        <w:adjustRightInd w:val="0"/>
        <w:jc w:val="both"/>
        <w:rPr>
          <w:sz w:val="22"/>
          <w:szCs w:val="22"/>
        </w:rPr>
      </w:pPr>
      <w:r w:rsidRPr="00C57787">
        <w:rPr>
          <w:sz w:val="22"/>
          <w:szCs w:val="22"/>
        </w:rPr>
        <w:t>Each RUNO will provide the Administrative Agent and the PBSO (for narrative reports only) with:</w:t>
      </w:r>
    </w:p>
    <w:p w14:paraId="5C2B146A" w14:textId="7BBB0AD5" w:rsidR="00F42430" w:rsidRDefault="00F42430" w:rsidP="00D570C5">
      <w:pPr>
        <w:widowControl w:val="0"/>
        <w:autoSpaceDE w:val="0"/>
        <w:autoSpaceDN w:val="0"/>
        <w:adjustRightInd w:val="0"/>
        <w:jc w:val="both"/>
        <w:rPr>
          <w:sz w:val="22"/>
          <w:szCs w:val="22"/>
        </w:rPr>
      </w:pPr>
    </w:p>
    <w:tbl>
      <w:tblPr>
        <w:tblStyle w:val="TableGrid"/>
        <w:tblW w:w="9214" w:type="dxa"/>
        <w:tblInd w:w="-147" w:type="dxa"/>
        <w:tblLook w:val="04A0" w:firstRow="1" w:lastRow="0" w:firstColumn="1" w:lastColumn="0" w:noHBand="0" w:noVBand="1"/>
      </w:tblPr>
      <w:tblGrid>
        <w:gridCol w:w="2552"/>
        <w:gridCol w:w="2693"/>
        <w:gridCol w:w="3969"/>
      </w:tblGrid>
      <w:tr w:rsidR="00F42430" w14:paraId="31BFDAB5" w14:textId="77777777" w:rsidTr="004470EF">
        <w:tc>
          <w:tcPr>
            <w:tcW w:w="2552" w:type="dxa"/>
          </w:tcPr>
          <w:p w14:paraId="58D27098" w14:textId="77777777" w:rsidR="00F42430" w:rsidRPr="00185B5A" w:rsidRDefault="00F42430" w:rsidP="00D570C5">
            <w:pPr>
              <w:pStyle w:val="ListParagraph"/>
              <w:spacing w:after="120"/>
              <w:ind w:left="0"/>
              <w:jc w:val="both"/>
              <w:rPr>
                <w:rFonts w:ascii="Times New Roman" w:hAnsi="Times New Roman"/>
              </w:rPr>
            </w:pPr>
            <w:r w:rsidRPr="00185B5A">
              <w:rPr>
                <w:rFonts w:ascii="Times New Roman" w:hAnsi="Times New Roman"/>
              </w:rPr>
              <w:t>Type of report</w:t>
            </w:r>
          </w:p>
        </w:tc>
        <w:tc>
          <w:tcPr>
            <w:tcW w:w="2693" w:type="dxa"/>
          </w:tcPr>
          <w:p w14:paraId="1C366178" w14:textId="77777777" w:rsidR="00F42430" w:rsidRPr="00185B5A" w:rsidRDefault="00F42430" w:rsidP="00D570C5">
            <w:pPr>
              <w:pStyle w:val="ListParagraph"/>
              <w:spacing w:after="120"/>
              <w:ind w:left="0"/>
              <w:jc w:val="both"/>
              <w:rPr>
                <w:rFonts w:ascii="Times New Roman" w:hAnsi="Times New Roman"/>
              </w:rPr>
            </w:pPr>
            <w:r w:rsidRPr="00185B5A">
              <w:rPr>
                <w:rFonts w:ascii="Times New Roman" w:hAnsi="Times New Roman"/>
              </w:rPr>
              <w:t>Due when</w:t>
            </w:r>
          </w:p>
        </w:tc>
        <w:tc>
          <w:tcPr>
            <w:tcW w:w="3969" w:type="dxa"/>
          </w:tcPr>
          <w:p w14:paraId="6D4601CC" w14:textId="77777777" w:rsidR="00F42430" w:rsidRPr="00185B5A" w:rsidRDefault="00F42430" w:rsidP="00D570C5">
            <w:pPr>
              <w:pStyle w:val="ListParagraph"/>
              <w:spacing w:after="120"/>
              <w:ind w:left="0"/>
              <w:jc w:val="both"/>
              <w:rPr>
                <w:rFonts w:ascii="Times New Roman" w:hAnsi="Times New Roman"/>
              </w:rPr>
            </w:pPr>
            <w:r w:rsidRPr="00185B5A">
              <w:rPr>
                <w:rFonts w:ascii="Times New Roman" w:hAnsi="Times New Roman"/>
              </w:rPr>
              <w:t>Submitted by</w:t>
            </w:r>
          </w:p>
        </w:tc>
      </w:tr>
      <w:tr w:rsidR="00F42430" w14:paraId="6A888489" w14:textId="77777777" w:rsidTr="004470EF">
        <w:tc>
          <w:tcPr>
            <w:tcW w:w="2552" w:type="dxa"/>
          </w:tcPr>
          <w:p w14:paraId="2836254D" w14:textId="03D17F1F" w:rsidR="00F42430" w:rsidRPr="00185B5A" w:rsidRDefault="000F510B" w:rsidP="00D570C5">
            <w:pPr>
              <w:pStyle w:val="ListParagraph"/>
              <w:spacing w:after="120"/>
              <w:ind w:left="0"/>
              <w:rPr>
                <w:rFonts w:ascii="Times New Roman" w:hAnsi="Times New Roman"/>
              </w:rPr>
            </w:pPr>
            <w:r w:rsidRPr="00185B5A">
              <w:rPr>
                <w:rFonts w:ascii="Times New Roman" w:hAnsi="Times New Roman"/>
              </w:rPr>
              <w:t>Semi</w:t>
            </w:r>
            <w:r w:rsidR="00F42430" w:rsidRPr="00185B5A">
              <w:rPr>
                <w:rFonts w:ascii="Times New Roman" w:hAnsi="Times New Roman"/>
              </w:rPr>
              <w:t>-annual project progress report</w:t>
            </w:r>
          </w:p>
        </w:tc>
        <w:tc>
          <w:tcPr>
            <w:tcW w:w="2693" w:type="dxa"/>
          </w:tcPr>
          <w:p w14:paraId="4041C2C1" w14:textId="17067D17" w:rsidR="00F42430" w:rsidRPr="00185B5A" w:rsidRDefault="00F42430" w:rsidP="00D570C5">
            <w:pPr>
              <w:pStyle w:val="ListParagraph"/>
              <w:spacing w:after="120"/>
              <w:ind w:left="0"/>
              <w:jc w:val="both"/>
              <w:rPr>
                <w:rFonts w:ascii="Times New Roman" w:hAnsi="Times New Roman"/>
              </w:rPr>
            </w:pPr>
            <w:r w:rsidRPr="00185B5A">
              <w:rPr>
                <w:rFonts w:ascii="Times New Roman" w:hAnsi="Times New Roman"/>
              </w:rPr>
              <w:t>15 June</w:t>
            </w:r>
          </w:p>
        </w:tc>
        <w:tc>
          <w:tcPr>
            <w:tcW w:w="3969" w:type="dxa"/>
          </w:tcPr>
          <w:p w14:paraId="35D94067" w14:textId="50A8943F" w:rsidR="00F42430" w:rsidRPr="00185B5A" w:rsidRDefault="00F42430" w:rsidP="00D570C5">
            <w:pPr>
              <w:pStyle w:val="ListParagraph"/>
              <w:spacing w:after="120"/>
              <w:ind w:left="0"/>
              <w:jc w:val="both"/>
              <w:rPr>
                <w:rFonts w:ascii="Times New Roman" w:hAnsi="Times New Roman"/>
              </w:rPr>
            </w:pPr>
            <w:r w:rsidRPr="00185B5A">
              <w:rPr>
                <w:rFonts w:ascii="Times New Roman" w:hAnsi="Times New Roman"/>
              </w:rPr>
              <w:t>Convening Agency on behalf of all implementing organizations and in consultation with/ quality assurance by PBF Secretariats, where they exist</w:t>
            </w:r>
          </w:p>
        </w:tc>
      </w:tr>
      <w:tr w:rsidR="000F510B" w14:paraId="6F818A2C" w14:textId="77777777" w:rsidTr="004470EF">
        <w:tc>
          <w:tcPr>
            <w:tcW w:w="2552" w:type="dxa"/>
          </w:tcPr>
          <w:p w14:paraId="7FAC566E" w14:textId="548F917F" w:rsidR="000F510B" w:rsidRPr="00185B5A" w:rsidDel="000F510B" w:rsidRDefault="000F510B" w:rsidP="00D570C5">
            <w:pPr>
              <w:pStyle w:val="ListParagraph"/>
              <w:spacing w:after="120"/>
              <w:ind w:left="0"/>
              <w:rPr>
                <w:rFonts w:ascii="Times New Roman" w:hAnsi="Times New Roman"/>
              </w:rPr>
            </w:pPr>
            <w:r w:rsidRPr="00185B5A">
              <w:rPr>
                <w:rFonts w:ascii="Times New Roman" w:hAnsi="Times New Roman"/>
              </w:rPr>
              <w:lastRenderedPageBreak/>
              <w:t>Annual project progress report</w:t>
            </w:r>
          </w:p>
        </w:tc>
        <w:tc>
          <w:tcPr>
            <w:tcW w:w="2693" w:type="dxa"/>
          </w:tcPr>
          <w:p w14:paraId="117CB05A" w14:textId="7A8F49AD" w:rsidR="000F510B" w:rsidRPr="00185B5A" w:rsidRDefault="000F510B" w:rsidP="00D570C5">
            <w:pPr>
              <w:pStyle w:val="ListParagraph"/>
              <w:spacing w:after="120"/>
              <w:ind w:left="0"/>
              <w:jc w:val="both"/>
              <w:rPr>
                <w:rFonts w:ascii="Times New Roman" w:hAnsi="Times New Roman"/>
              </w:rPr>
            </w:pPr>
            <w:r w:rsidRPr="00185B5A">
              <w:rPr>
                <w:rFonts w:ascii="Times New Roman" w:hAnsi="Times New Roman"/>
              </w:rPr>
              <w:t>15 November</w:t>
            </w:r>
          </w:p>
        </w:tc>
        <w:tc>
          <w:tcPr>
            <w:tcW w:w="3969" w:type="dxa"/>
          </w:tcPr>
          <w:p w14:paraId="77861FDE" w14:textId="56ABCFCD" w:rsidR="000F510B" w:rsidRPr="00185B5A" w:rsidRDefault="000F510B" w:rsidP="00D570C5">
            <w:pPr>
              <w:pStyle w:val="ListParagraph"/>
              <w:spacing w:after="120"/>
              <w:ind w:left="0"/>
              <w:jc w:val="both"/>
              <w:rPr>
                <w:rFonts w:ascii="Times New Roman" w:hAnsi="Times New Roman"/>
              </w:rPr>
            </w:pPr>
            <w:r w:rsidRPr="00185B5A">
              <w:rPr>
                <w:rFonts w:ascii="Times New Roman" w:hAnsi="Times New Roman"/>
              </w:rPr>
              <w:t>Convening Agency on behalf of all implementing organizations and in consultation with/ quality assurance by PBF Secretariats, where they exist</w:t>
            </w:r>
          </w:p>
        </w:tc>
      </w:tr>
      <w:tr w:rsidR="00F42430" w14:paraId="60B0EB55" w14:textId="77777777" w:rsidTr="004470EF">
        <w:tc>
          <w:tcPr>
            <w:tcW w:w="2552" w:type="dxa"/>
          </w:tcPr>
          <w:p w14:paraId="125162CD" w14:textId="77777777" w:rsidR="00F42430" w:rsidRPr="00185B5A" w:rsidRDefault="00F42430" w:rsidP="00D570C5">
            <w:pPr>
              <w:pStyle w:val="ListParagraph"/>
              <w:spacing w:after="120"/>
              <w:ind w:left="0"/>
              <w:rPr>
                <w:rFonts w:ascii="Times New Roman" w:hAnsi="Times New Roman"/>
              </w:rPr>
            </w:pPr>
            <w:r w:rsidRPr="00185B5A">
              <w:rPr>
                <w:rFonts w:ascii="Times New Roman" w:hAnsi="Times New Roman"/>
              </w:rPr>
              <w:t>End of project report covering entire project duration</w:t>
            </w:r>
          </w:p>
        </w:tc>
        <w:tc>
          <w:tcPr>
            <w:tcW w:w="2693" w:type="dxa"/>
          </w:tcPr>
          <w:p w14:paraId="5747FC95" w14:textId="77777777" w:rsidR="00F42430" w:rsidRPr="00185B5A" w:rsidRDefault="00F42430" w:rsidP="00D570C5">
            <w:pPr>
              <w:pStyle w:val="ListParagraph"/>
              <w:spacing w:after="120"/>
              <w:ind w:left="0"/>
              <w:jc w:val="both"/>
              <w:rPr>
                <w:rFonts w:ascii="Times New Roman" w:hAnsi="Times New Roman"/>
              </w:rPr>
            </w:pPr>
            <w:r w:rsidRPr="00185B5A">
              <w:rPr>
                <w:rFonts w:ascii="Times New Roman" w:hAnsi="Times New Roman"/>
              </w:rPr>
              <w:t>Within three months from the operational project closure (it can be submitted instead of an annual report if timing coincides)</w:t>
            </w:r>
          </w:p>
        </w:tc>
        <w:tc>
          <w:tcPr>
            <w:tcW w:w="3969" w:type="dxa"/>
          </w:tcPr>
          <w:p w14:paraId="7FB1BD1D" w14:textId="64B683E4" w:rsidR="00F42430" w:rsidRPr="00185B5A" w:rsidRDefault="00F42430" w:rsidP="00D570C5">
            <w:pPr>
              <w:pStyle w:val="ListParagraph"/>
              <w:spacing w:after="120"/>
              <w:ind w:left="0"/>
              <w:jc w:val="both"/>
              <w:rPr>
                <w:rFonts w:ascii="Times New Roman" w:hAnsi="Times New Roman"/>
              </w:rPr>
            </w:pPr>
            <w:r w:rsidRPr="00185B5A">
              <w:rPr>
                <w:rFonts w:ascii="Times New Roman" w:hAnsi="Times New Roman"/>
              </w:rPr>
              <w:t>Convening Agency on behalf of all implementing organizations and in consultation with/ quality assurance by PBF Secretariats, where they exist</w:t>
            </w:r>
          </w:p>
        </w:tc>
      </w:tr>
      <w:tr w:rsidR="00F42430" w14:paraId="58D3F969" w14:textId="77777777" w:rsidTr="004470EF">
        <w:tc>
          <w:tcPr>
            <w:tcW w:w="2552" w:type="dxa"/>
          </w:tcPr>
          <w:p w14:paraId="7E4107FF" w14:textId="6EF99100" w:rsidR="00F42430" w:rsidRPr="00185B5A" w:rsidRDefault="00F42430" w:rsidP="00D570C5">
            <w:pPr>
              <w:pStyle w:val="ListParagraph"/>
              <w:spacing w:after="120"/>
              <w:ind w:left="0"/>
              <w:rPr>
                <w:rFonts w:ascii="Times New Roman" w:hAnsi="Times New Roman"/>
              </w:rPr>
            </w:pPr>
            <w:r w:rsidRPr="00185B5A">
              <w:rPr>
                <w:rFonts w:ascii="Times New Roman" w:hAnsi="Times New Roman"/>
              </w:rPr>
              <w:t xml:space="preserve">Annual strategic peacebuilding and PBF progress report (for PRF allocations only), which may contain a request for additional PBF allocation if the context requires it </w:t>
            </w:r>
          </w:p>
        </w:tc>
        <w:tc>
          <w:tcPr>
            <w:tcW w:w="2693" w:type="dxa"/>
          </w:tcPr>
          <w:p w14:paraId="1FDCC5F6" w14:textId="77777777" w:rsidR="00F42430" w:rsidRPr="00185B5A" w:rsidRDefault="00F42430" w:rsidP="00D570C5">
            <w:pPr>
              <w:pStyle w:val="ListParagraph"/>
              <w:spacing w:after="120"/>
              <w:ind w:left="0"/>
              <w:jc w:val="both"/>
              <w:rPr>
                <w:rFonts w:ascii="Times New Roman" w:hAnsi="Times New Roman"/>
              </w:rPr>
            </w:pPr>
            <w:r w:rsidRPr="00185B5A">
              <w:rPr>
                <w:rFonts w:ascii="Times New Roman" w:hAnsi="Times New Roman"/>
              </w:rPr>
              <w:t>1 December</w:t>
            </w:r>
          </w:p>
        </w:tc>
        <w:tc>
          <w:tcPr>
            <w:tcW w:w="3969" w:type="dxa"/>
          </w:tcPr>
          <w:p w14:paraId="73A33FD0" w14:textId="77777777" w:rsidR="00F42430" w:rsidRPr="00185B5A" w:rsidRDefault="00F42430" w:rsidP="00D570C5">
            <w:pPr>
              <w:pStyle w:val="ListParagraph"/>
              <w:spacing w:after="120"/>
              <w:ind w:left="0"/>
              <w:jc w:val="both"/>
              <w:rPr>
                <w:rFonts w:ascii="Times New Roman" w:hAnsi="Times New Roman"/>
              </w:rPr>
            </w:pPr>
            <w:r w:rsidRPr="00185B5A">
              <w:rPr>
                <w:rFonts w:ascii="Times New Roman" w:hAnsi="Times New Roman"/>
              </w:rPr>
              <w:t>PBF Secretariat on behalf of the PBF Steering Committee, where it exists or Head of UN Country Team where it does not.</w:t>
            </w:r>
          </w:p>
        </w:tc>
      </w:tr>
    </w:tbl>
    <w:p w14:paraId="519B95E6" w14:textId="77777777" w:rsidR="00F42430" w:rsidRPr="00C57787" w:rsidRDefault="00F42430" w:rsidP="00D570C5">
      <w:pPr>
        <w:widowControl w:val="0"/>
        <w:autoSpaceDE w:val="0"/>
        <w:autoSpaceDN w:val="0"/>
        <w:adjustRightInd w:val="0"/>
        <w:jc w:val="both"/>
        <w:rPr>
          <w:sz w:val="22"/>
          <w:szCs w:val="22"/>
        </w:rPr>
      </w:pPr>
    </w:p>
    <w:p w14:paraId="1088446F" w14:textId="3DCF8040" w:rsidR="00F42430" w:rsidRDefault="00F42430" w:rsidP="00D570C5">
      <w:pPr>
        <w:jc w:val="both"/>
        <w:outlineLvl w:val="0"/>
        <w:rPr>
          <w:sz w:val="22"/>
          <w:szCs w:val="22"/>
          <w:lang w:eastAsia="en-GB"/>
        </w:rPr>
      </w:pPr>
      <w:r>
        <w:rPr>
          <w:sz w:val="22"/>
          <w:szCs w:val="22"/>
          <w:lang w:eastAsia="en-GB"/>
        </w:rPr>
        <w:t>Financial reporting and timeline</w:t>
      </w:r>
    </w:p>
    <w:p w14:paraId="56B62140" w14:textId="77777777" w:rsidR="00F42430" w:rsidRDefault="00F42430" w:rsidP="00D570C5">
      <w:pPr>
        <w:jc w:val="both"/>
        <w:rPr>
          <w:sz w:val="22"/>
          <w:szCs w:val="22"/>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F42430" w:rsidRPr="0072278F" w14:paraId="77A8A411" w14:textId="77777777" w:rsidTr="004470EF">
        <w:tc>
          <w:tcPr>
            <w:tcW w:w="1795" w:type="dxa"/>
            <w:shd w:val="clear" w:color="auto" w:fill="E2EFD9"/>
          </w:tcPr>
          <w:p w14:paraId="242686AB" w14:textId="77777777" w:rsidR="00F42430" w:rsidRPr="0072278F" w:rsidRDefault="00F42430" w:rsidP="00D570C5">
            <w:pPr>
              <w:jc w:val="both"/>
              <w:rPr>
                <w:b/>
                <w:sz w:val="22"/>
                <w:szCs w:val="22"/>
                <w:lang w:eastAsia="en-GB"/>
              </w:rPr>
            </w:pPr>
            <w:r w:rsidRPr="0072278F">
              <w:rPr>
                <w:b/>
                <w:sz w:val="22"/>
                <w:szCs w:val="22"/>
                <w:lang w:eastAsia="en-GB"/>
              </w:rPr>
              <w:t>Timeline</w:t>
            </w:r>
          </w:p>
        </w:tc>
        <w:tc>
          <w:tcPr>
            <w:tcW w:w="7313" w:type="dxa"/>
            <w:shd w:val="clear" w:color="auto" w:fill="E2EFD9"/>
          </w:tcPr>
          <w:p w14:paraId="75090F9B" w14:textId="77777777" w:rsidR="00F42430" w:rsidRPr="0072278F" w:rsidRDefault="00F42430" w:rsidP="00D570C5">
            <w:pPr>
              <w:jc w:val="both"/>
              <w:rPr>
                <w:b/>
                <w:sz w:val="22"/>
                <w:szCs w:val="22"/>
                <w:lang w:eastAsia="en-GB"/>
              </w:rPr>
            </w:pPr>
            <w:r w:rsidRPr="0072278F">
              <w:rPr>
                <w:b/>
                <w:sz w:val="22"/>
                <w:szCs w:val="22"/>
                <w:lang w:eastAsia="en-GB"/>
              </w:rPr>
              <w:t>Event</w:t>
            </w:r>
          </w:p>
        </w:tc>
      </w:tr>
      <w:tr w:rsidR="00F42430" w:rsidRPr="0072278F" w14:paraId="69B9C75F" w14:textId="77777777" w:rsidTr="004470EF">
        <w:tc>
          <w:tcPr>
            <w:tcW w:w="1795" w:type="dxa"/>
            <w:shd w:val="clear" w:color="auto" w:fill="auto"/>
          </w:tcPr>
          <w:p w14:paraId="1BAB1CA2" w14:textId="646013C4" w:rsidR="00F42430" w:rsidRPr="0072278F" w:rsidRDefault="004470EF" w:rsidP="00D570C5">
            <w:pPr>
              <w:jc w:val="both"/>
              <w:rPr>
                <w:b/>
                <w:sz w:val="22"/>
                <w:szCs w:val="22"/>
                <w:lang w:eastAsia="en-GB"/>
              </w:rPr>
            </w:pPr>
            <w:r>
              <w:rPr>
                <w:b/>
                <w:sz w:val="22"/>
                <w:szCs w:val="22"/>
                <w:lang w:eastAsia="en-GB"/>
              </w:rPr>
              <w:t>30 April</w:t>
            </w:r>
          </w:p>
        </w:tc>
        <w:tc>
          <w:tcPr>
            <w:tcW w:w="7313" w:type="dxa"/>
            <w:shd w:val="clear" w:color="auto" w:fill="auto"/>
          </w:tcPr>
          <w:p w14:paraId="0E764174" w14:textId="77777777" w:rsidR="00F42430" w:rsidRPr="0072278F" w:rsidRDefault="00F42430" w:rsidP="00D570C5">
            <w:pPr>
              <w:jc w:val="both"/>
              <w:rPr>
                <w:sz w:val="22"/>
                <w:szCs w:val="22"/>
                <w:lang w:eastAsia="en-GB"/>
              </w:rPr>
            </w:pPr>
            <w:r w:rsidRPr="0072278F">
              <w:rPr>
                <w:sz w:val="22"/>
                <w:szCs w:val="22"/>
                <w:lang w:eastAsia="en-GB"/>
              </w:rPr>
              <w:t xml:space="preserve">Annual </w:t>
            </w:r>
            <w:proofErr w:type="gramStart"/>
            <w:r w:rsidRPr="0072278F">
              <w:rPr>
                <w:sz w:val="22"/>
                <w:szCs w:val="22"/>
                <w:lang w:eastAsia="en-GB"/>
              </w:rPr>
              <w:t>reporting  –</w:t>
            </w:r>
            <w:proofErr w:type="gramEnd"/>
            <w:r w:rsidRPr="0072278F">
              <w:rPr>
                <w:sz w:val="22"/>
                <w:szCs w:val="22"/>
                <w:lang w:eastAsia="en-GB"/>
              </w:rPr>
              <w:t xml:space="preserve">  Report </w:t>
            </w:r>
            <w:r w:rsidRPr="0072278F">
              <w:rPr>
                <w:b/>
                <w:sz w:val="22"/>
                <w:szCs w:val="22"/>
                <w:lang w:eastAsia="en-GB"/>
              </w:rPr>
              <w:t>Q4 expenses</w:t>
            </w:r>
            <w:r w:rsidRPr="0072278F">
              <w:rPr>
                <w:sz w:val="22"/>
                <w:szCs w:val="22"/>
                <w:lang w:eastAsia="en-GB"/>
              </w:rPr>
              <w:t xml:space="preserve"> (Jan. to Dec. of previous year)</w:t>
            </w:r>
          </w:p>
        </w:tc>
      </w:tr>
      <w:tr w:rsidR="00F42430" w:rsidRPr="0072278F" w14:paraId="1D9304A5" w14:textId="77777777" w:rsidTr="004470EF">
        <w:tc>
          <w:tcPr>
            <w:tcW w:w="9108" w:type="dxa"/>
            <w:gridSpan w:val="2"/>
            <w:shd w:val="clear" w:color="auto" w:fill="auto"/>
          </w:tcPr>
          <w:p w14:paraId="17226540" w14:textId="77777777" w:rsidR="00F42430" w:rsidRPr="00860FC4" w:rsidRDefault="00F42430" w:rsidP="00D570C5">
            <w:pPr>
              <w:jc w:val="both"/>
              <w:rPr>
                <w:b/>
                <w:i/>
                <w:sz w:val="22"/>
                <w:szCs w:val="22"/>
                <w:lang w:eastAsia="en-GB"/>
              </w:rPr>
            </w:pPr>
            <w:r w:rsidRPr="00860FC4">
              <w:rPr>
                <w:b/>
                <w:i/>
                <w:sz w:val="22"/>
                <w:szCs w:val="22"/>
                <w:lang w:eastAsia="en-GB"/>
              </w:rPr>
              <w:t xml:space="preserve">Certified final financial report to be provided </w:t>
            </w:r>
            <w:r w:rsidRPr="00860FC4">
              <w:rPr>
                <w:b/>
                <w:i/>
                <w:sz w:val="22"/>
                <w:szCs w:val="22"/>
              </w:rPr>
              <w:t>by 30 June of the calendar year after project closure</w:t>
            </w:r>
          </w:p>
        </w:tc>
      </w:tr>
    </w:tbl>
    <w:p w14:paraId="2C25F0DB" w14:textId="77777777" w:rsidR="00F42430" w:rsidRDefault="00F42430" w:rsidP="00D570C5">
      <w:pPr>
        <w:jc w:val="both"/>
        <w:rPr>
          <w:sz w:val="22"/>
          <w:szCs w:val="22"/>
          <w:lang w:eastAsia="en-GB"/>
        </w:rPr>
      </w:pPr>
    </w:p>
    <w:p w14:paraId="4695BCE7" w14:textId="77777777" w:rsidR="00F42430" w:rsidRDefault="00F42430" w:rsidP="00D570C5">
      <w:pPr>
        <w:jc w:val="both"/>
        <w:rPr>
          <w:sz w:val="22"/>
          <w:szCs w:val="22"/>
          <w:lang w:eastAsia="en-GB"/>
        </w:rPr>
      </w:pPr>
      <w:r>
        <w:rPr>
          <w:sz w:val="22"/>
          <w:szCs w:val="22"/>
          <w:lang w:eastAsia="en-GB"/>
        </w:rPr>
        <w:t>UNEX also opens for voluntary financial reporting for UN recipient organizations the following dates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F42430" w:rsidRPr="003511AD" w14:paraId="2940B238" w14:textId="77777777" w:rsidTr="004470EF">
        <w:tc>
          <w:tcPr>
            <w:tcW w:w="1795" w:type="dxa"/>
            <w:shd w:val="clear" w:color="auto" w:fill="auto"/>
          </w:tcPr>
          <w:p w14:paraId="797CBE5C" w14:textId="77777777" w:rsidR="00F42430" w:rsidRPr="00960386" w:rsidRDefault="00F42430" w:rsidP="00D570C5">
            <w:pPr>
              <w:jc w:val="both"/>
              <w:rPr>
                <w:b/>
                <w:sz w:val="22"/>
                <w:szCs w:val="22"/>
                <w:lang w:eastAsia="en-GB"/>
              </w:rPr>
            </w:pPr>
            <w:r w:rsidRPr="00960386">
              <w:rPr>
                <w:b/>
                <w:sz w:val="22"/>
                <w:szCs w:val="22"/>
                <w:lang w:eastAsia="en-GB"/>
              </w:rPr>
              <w:t>31 July</w:t>
            </w:r>
          </w:p>
        </w:tc>
        <w:tc>
          <w:tcPr>
            <w:tcW w:w="7313" w:type="dxa"/>
            <w:shd w:val="clear" w:color="auto" w:fill="auto"/>
          </w:tcPr>
          <w:p w14:paraId="419FC476" w14:textId="77777777" w:rsidR="00F42430" w:rsidRPr="00960386" w:rsidRDefault="00F42430" w:rsidP="00D570C5">
            <w:pPr>
              <w:jc w:val="both"/>
              <w:rPr>
                <w:sz w:val="22"/>
                <w:szCs w:val="22"/>
                <w:lang w:eastAsia="en-GB"/>
              </w:rPr>
            </w:pPr>
            <w:r w:rsidRPr="00960386">
              <w:rPr>
                <w:sz w:val="22"/>
                <w:szCs w:val="22"/>
                <w:lang w:eastAsia="en-GB"/>
              </w:rPr>
              <w:t>Voluntary Q2 expenses (January to June)</w:t>
            </w:r>
          </w:p>
        </w:tc>
      </w:tr>
      <w:tr w:rsidR="00F42430" w:rsidRPr="003511AD" w14:paraId="6F5176BF" w14:textId="77777777" w:rsidTr="004470EF">
        <w:tc>
          <w:tcPr>
            <w:tcW w:w="1795" w:type="dxa"/>
            <w:shd w:val="clear" w:color="auto" w:fill="auto"/>
          </w:tcPr>
          <w:p w14:paraId="3201CF88" w14:textId="77777777" w:rsidR="00F42430" w:rsidRPr="00960386" w:rsidRDefault="00F42430" w:rsidP="00D570C5">
            <w:pPr>
              <w:jc w:val="both"/>
              <w:rPr>
                <w:b/>
                <w:sz w:val="22"/>
                <w:szCs w:val="22"/>
                <w:lang w:eastAsia="en-GB"/>
              </w:rPr>
            </w:pPr>
            <w:r w:rsidRPr="00960386">
              <w:rPr>
                <w:b/>
                <w:sz w:val="22"/>
                <w:szCs w:val="22"/>
                <w:lang w:eastAsia="en-GB"/>
              </w:rPr>
              <w:t>31 October</w:t>
            </w:r>
          </w:p>
        </w:tc>
        <w:tc>
          <w:tcPr>
            <w:tcW w:w="7313" w:type="dxa"/>
            <w:shd w:val="clear" w:color="auto" w:fill="auto"/>
          </w:tcPr>
          <w:p w14:paraId="0A836F4C" w14:textId="77777777" w:rsidR="00F42430" w:rsidRPr="00960386" w:rsidRDefault="00F42430" w:rsidP="00D570C5">
            <w:pPr>
              <w:jc w:val="both"/>
              <w:rPr>
                <w:sz w:val="22"/>
                <w:szCs w:val="22"/>
                <w:lang w:eastAsia="en-GB"/>
              </w:rPr>
            </w:pPr>
            <w:r w:rsidRPr="00960386">
              <w:rPr>
                <w:sz w:val="22"/>
                <w:szCs w:val="22"/>
                <w:lang w:eastAsia="en-GB"/>
              </w:rPr>
              <w:t>Voluntary Q3 expenses (January to September)</w:t>
            </w:r>
          </w:p>
        </w:tc>
      </w:tr>
    </w:tbl>
    <w:p w14:paraId="0A4B60A6" w14:textId="77777777" w:rsidR="00A02C7A" w:rsidRDefault="00A02C7A" w:rsidP="00D570C5">
      <w:pPr>
        <w:widowControl w:val="0"/>
        <w:autoSpaceDE w:val="0"/>
        <w:autoSpaceDN w:val="0"/>
        <w:adjustRightInd w:val="0"/>
        <w:jc w:val="both"/>
        <w:rPr>
          <w:rFonts w:ascii="TimesNewRomanPSMT" w:hAnsi="TimesNewRomanPSMT" w:cs="TimesNewRomanPSMT"/>
          <w:sz w:val="22"/>
          <w:szCs w:val="22"/>
        </w:rPr>
      </w:pPr>
    </w:p>
    <w:p w14:paraId="7414ED71" w14:textId="7AB92E50" w:rsidR="00A02C7A" w:rsidRDefault="00A02C7A" w:rsidP="00D570C5">
      <w:pPr>
        <w:autoSpaceDE w:val="0"/>
        <w:autoSpaceDN w:val="0"/>
        <w:adjustRightInd w:val="0"/>
        <w:spacing w:after="120"/>
        <w:jc w:val="both"/>
        <w:rPr>
          <w:sz w:val="22"/>
          <w:szCs w:val="22"/>
        </w:rPr>
      </w:pPr>
      <w:r w:rsidRPr="00C57787">
        <w:rPr>
          <w:sz w:val="22"/>
          <w:szCs w:val="22"/>
        </w:rPr>
        <w:t>Unspent Balance</w:t>
      </w:r>
      <w:r w:rsidR="00130586">
        <w:rPr>
          <w:sz w:val="22"/>
          <w:szCs w:val="22"/>
        </w:rPr>
        <w:t xml:space="preserve"> exceeding USD 250,</w:t>
      </w:r>
      <w:r w:rsidRPr="00C57787">
        <w:rPr>
          <w:sz w:val="22"/>
          <w:szCs w:val="22"/>
        </w:rPr>
        <w:t xml:space="preserve"> at the closure of the project would have to been refunded and a notification sent to the MPTF Office,</w:t>
      </w:r>
      <w:r w:rsidRPr="00816C22">
        <w:rPr>
          <w:sz w:val="22"/>
          <w:szCs w:val="22"/>
        </w:rPr>
        <w:t xml:space="preserve"> </w:t>
      </w:r>
      <w:r>
        <w:rPr>
          <w:sz w:val="22"/>
          <w:szCs w:val="22"/>
        </w:rPr>
        <w:t>no later than six months (30 June) of the year following the completion of the activities.</w:t>
      </w:r>
    </w:p>
    <w:p w14:paraId="61E5F0BA" w14:textId="77777777" w:rsidR="00A02C7A" w:rsidRPr="00C57787" w:rsidRDefault="00A02C7A" w:rsidP="00D570C5">
      <w:pPr>
        <w:jc w:val="both"/>
        <w:rPr>
          <w:b/>
          <w:sz w:val="22"/>
          <w:szCs w:val="22"/>
        </w:rPr>
      </w:pPr>
    </w:p>
    <w:p w14:paraId="4D50EB82" w14:textId="77777777" w:rsidR="00A02C7A" w:rsidRPr="00C57787" w:rsidRDefault="00A02C7A" w:rsidP="00D570C5">
      <w:pPr>
        <w:jc w:val="both"/>
        <w:rPr>
          <w:b/>
          <w:sz w:val="22"/>
          <w:szCs w:val="22"/>
        </w:rPr>
      </w:pPr>
      <w:r w:rsidRPr="00C57787">
        <w:rPr>
          <w:b/>
          <w:sz w:val="22"/>
          <w:szCs w:val="22"/>
        </w:rPr>
        <w:t>Ownership of Equipment, Supplies and Other Property</w:t>
      </w:r>
    </w:p>
    <w:p w14:paraId="3467AF32" w14:textId="77777777" w:rsidR="00A02C7A" w:rsidRDefault="00A02C7A" w:rsidP="00D570C5">
      <w:pPr>
        <w:rPr>
          <w:color w:val="000000"/>
          <w:sz w:val="23"/>
          <w:szCs w:val="23"/>
        </w:rPr>
      </w:pPr>
    </w:p>
    <w:p w14:paraId="08B8EA42" w14:textId="77777777" w:rsidR="00A02C7A" w:rsidRPr="00C57787" w:rsidRDefault="00A02C7A" w:rsidP="00D570C5">
      <w:pPr>
        <w:jc w:val="both"/>
        <w:rPr>
          <w:sz w:val="22"/>
          <w:szCs w:val="22"/>
        </w:rPr>
      </w:pPr>
      <w:r w:rsidRPr="00C57787">
        <w:rPr>
          <w:sz w:val="22"/>
          <w:szCs w:val="22"/>
        </w:rP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38FF9854" w14:textId="77777777" w:rsidR="00A02C7A" w:rsidRPr="00AA70E5" w:rsidRDefault="00A02C7A" w:rsidP="00D570C5">
      <w:pPr>
        <w:jc w:val="both"/>
      </w:pPr>
    </w:p>
    <w:p w14:paraId="4083AAC1" w14:textId="77777777" w:rsidR="00A02C7A" w:rsidRPr="00C57787" w:rsidRDefault="00A02C7A" w:rsidP="00D570C5">
      <w:pPr>
        <w:jc w:val="both"/>
        <w:rPr>
          <w:b/>
          <w:sz w:val="22"/>
          <w:szCs w:val="22"/>
        </w:rPr>
      </w:pPr>
      <w:r w:rsidRPr="00C57787">
        <w:rPr>
          <w:b/>
          <w:sz w:val="22"/>
          <w:szCs w:val="22"/>
        </w:rPr>
        <w:t>Public Disclosure</w:t>
      </w:r>
    </w:p>
    <w:p w14:paraId="163A7898" w14:textId="77777777" w:rsidR="00A02C7A" w:rsidRDefault="00A02C7A" w:rsidP="00D570C5">
      <w:pPr>
        <w:jc w:val="both"/>
        <w:rPr>
          <w:color w:val="000000"/>
          <w:sz w:val="23"/>
          <w:szCs w:val="23"/>
        </w:rPr>
      </w:pPr>
    </w:p>
    <w:p w14:paraId="5C3127D3" w14:textId="627AF889" w:rsidR="00A02C7A" w:rsidRDefault="00A02C7A" w:rsidP="00D570C5">
      <w:pPr>
        <w:jc w:val="both"/>
        <w:rPr>
          <w:sz w:val="22"/>
          <w:szCs w:val="22"/>
        </w:rPr>
      </w:pPr>
      <w:r w:rsidRPr="00C57787">
        <w:rPr>
          <w:sz w:val="22"/>
          <w:szCs w:val="22"/>
        </w:rPr>
        <w:t>The PBSO and Administrative Agent will ensure that operations of the PBF are publicly disclosed on the PBF website (http://unpbf.org) and the Administrative Agent’s website (</w:t>
      </w:r>
      <w:hyperlink r:id="rId14" w:history="1">
        <w:r w:rsidR="00D05991" w:rsidRPr="004367A6">
          <w:rPr>
            <w:rStyle w:val="Hyperlink"/>
            <w:sz w:val="22"/>
            <w:szCs w:val="22"/>
          </w:rPr>
          <w:t>http://mptf.undp.org</w:t>
        </w:r>
      </w:hyperlink>
      <w:r w:rsidRPr="00C57787">
        <w:rPr>
          <w:sz w:val="22"/>
          <w:szCs w:val="22"/>
        </w:rPr>
        <w:t>)</w:t>
      </w:r>
      <w:r>
        <w:rPr>
          <w:sz w:val="22"/>
          <w:szCs w:val="22"/>
        </w:rPr>
        <w:t>.</w:t>
      </w:r>
    </w:p>
    <w:p w14:paraId="0C4ED27D" w14:textId="5A8A5095" w:rsidR="00D05991" w:rsidRDefault="00D05991" w:rsidP="00D570C5">
      <w:pPr>
        <w:jc w:val="both"/>
        <w:rPr>
          <w:sz w:val="22"/>
          <w:szCs w:val="22"/>
        </w:rPr>
      </w:pPr>
    </w:p>
    <w:p w14:paraId="7ED45C87" w14:textId="77777777" w:rsidR="00CD2D34" w:rsidRDefault="00CD2D34" w:rsidP="00D570C5">
      <w:pPr>
        <w:sectPr w:rsidR="00CD2D34" w:rsidSect="000620B0">
          <w:footerReference w:type="even" r:id="rId15"/>
          <w:footerReference w:type="default" r:id="rId16"/>
          <w:pgSz w:w="11906" w:h="16838"/>
          <w:pgMar w:top="1440" w:right="1106" w:bottom="1440" w:left="1350" w:header="720" w:footer="720" w:gutter="0"/>
          <w:pgBorders w:offsetFrom="page">
            <w:left w:val="single" w:sz="4" w:space="24" w:color="FFFFFF"/>
          </w:pgBorders>
          <w:cols w:space="720"/>
          <w:docGrid w:linePitch="360"/>
        </w:sectPr>
      </w:pPr>
    </w:p>
    <w:p w14:paraId="33F4E3E1" w14:textId="23CB1426" w:rsidR="00CD2D34" w:rsidRDefault="00CD2D34" w:rsidP="00D570C5">
      <w:r>
        <w:rPr>
          <w:b/>
          <w:spacing w:val="-3"/>
          <w:sz w:val="22"/>
          <w:szCs w:val="22"/>
          <w:u w:val="single"/>
        </w:rPr>
        <w:lastRenderedPageBreak/>
        <w:t xml:space="preserve">Annex </w:t>
      </w:r>
      <w:r w:rsidRPr="004D5B3D">
        <w:rPr>
          <w:b/>
          <w:spacing w:val="-3"/>
          <w:sz w:val="22"/>
          <w:szCs w:val="22"/>
          <w:u w:val="single"/>
        </w:rPr>
        <w:t>A.2</w:t>
      </w:r>
      <w:r w:rsidRPr="006629A5">
        <w:rPr>
          <w:b/>
        </w:rPr>
        <w:t>:</w:t>
      </w:r>
      <w:r>
        <w:rPr>
          <w:b/>
        </w:rPr>
        <w:t xml:space="preserve"> Project </w:t>
      </w:r>
      <w:r w:rsidRPr="00A02C7A">
        <w:rPr>
          <w:b/>
        </w:rPr>
        <w:t>Administrative arrangements</w:t>
      </w:r>
      <w:r>
        <w:t xml:space="preserve"> </w:t>
      </w:r>
      <w:r w:rsidRPr="00CD2D34">
        <w:rPr>
          <w:b/>
          <w:bCs/>
        </w:rPr>
        <w:t xml:space="preserve">for </w:t>
      </w:r>
      <w:r>
        <w:rPr>
          <w:b/>
          <w:bCs/>
        </w:rPr>
        <w:t>N</w:t>
      </w:r>
      <w:r w:rsidR="004D5B3D">
        <w:rPr>
          <w:b/>
          <w:bCs/>
        </w:rPr>
        <w:t>on-</w:t>
      </w:r>
      <w:r w:rsidRPr="00CD2D34">
        <w:rPr>
          <w:b/>
          <w:bCs/>
        </w:rPr>
        <w:t>U</w:t>
      </w:r>
      <w:r w:rsidR="004D5B3D">
        <w:rPr>
          <w:b/>
          <w:bCs/>
        </w:rPr>
        <w:t>N Recipient Organizations</w:t>
      </w:r>
      <w:r>
        <w:t xml:space="preserve"> </w:t>
      </w:r>
    </w:p>
    <w:p w14:paraId="14DE3AB2" w14:textId="77777777" w:rsidR="004D5B3D" w:rsidRDefault="004D5B3D" w:rsidP="00D570C5"/>
    <w:p w14:paraId="54D6EB34" w14:textId="0D15B570" w:rsidR="00CD2D34" w:rsidRPr="004D5B3D" w:rsidRDefault="00CD2D34" w:rsidP="00D570C5">
      <w:pPr>
        <w:rPr>
          <w:i/>
          <w:iCs/>
        </w:rPr>
      </w:pPr>
      <w:r w:rsidRPr="004D5B3D">
        <w:rPr>
          <w:i/>
          <w:iCs/>
        </w:rPr>
        <w:t>(This section uses standard wording – please do not remove)</w:t>
      </w:r>
    </w:p>
    <w:p w14:paraId="540A1A22" w14:textId="77777777" w:rsidR="00CD2D34" w:rsidRDefault="00CD2D34" w:rsidP="00D570C5">
      <w:pPr>
        <w:jc w:val="both"/>
        <w:rPr>
          <w:sz w:val="22"/>
          <w:szCs w:val="22"/>
        </w:rPr>
      </w:pPr>
    </w:p>
    <w:p w14:paraId="4E381F2B" w14:textId="43CE4060" w:rsidR="005E59A5" w:rsidRPr="00190DDF" w:rsidRDefault="005E59A5" w:rsidP="00D570C5">
      <w:pPr>
        <w:rPr>
          <w:b/>
        </w:rPr>
      </w:pPr>
      <w:r w:rsidRPr="00190DDF">
        <w:rPr>
          <w:b/>
        </w:rPr>
        <w:t>Accountability, transparency and reporting of the Recipient</w:t>
      </w:r>
      <w:r w:rsidR="00D05991" w:rsidRPr="00190DDF">
        <w:rPr>
          <w:b/>
        </w:rPr>
        <w:t xml:space="preserve"> Non-United Nations Organization</w:t>
      </w:r>
      <w:r w:rsidRPr="00190DDF">
        <w:rPr>
          <w:b/>
        </w:rPr>
        <w:t>:</w:t>
      </w:r>
    </w:p>
    <w:p w14:paraId="5A8889AD" w14:textId="77777777" w:rsidR="00D05991" w:rsidRPr="00216D32" w:rsidRDefault="00D05991" w:rsidP="00D570C5">
      <w:pPr>
        <w:rPr>
          <w:b/>
          <w:u w:val="single"/>
        </w:rPr>
      </w:pPr>
    </w:p>
    <w:p w14:paraId="5A108EE9" w14:textId="650A912F" w:rsidR="005E59A5" w:rsidRPr="00216D32" w:rsidRDefault="005E59A5" w:rsidP="00D570C5">
      <w:r w:rsidRPr="00216D32">
        <w:t xml:space="preserve">The Recipient </w:t>
      </w:r>
      <w:bookmarkStart w:id="6" w:name="_Hlk507165852"/>
      <w:r w:rsidR="00190DDF" w:rsidRPr="00190DDF">
        <w:t xml:space="preserve">Non-United Nations </w:t>
      </w:r>
      <w:r w:rsidRPr="00216D32">
        <w:t xml:space="preserve">Organization </w:t>
      </w:r>
      <w:bookmarkEnd w:id="6"/>
      <w:r w:rsidRPr="00216D32">
        <w:t>will assume full programmatic and financial accountability for the funds disbursed to them by the Administrative Agent. Such funds will be administered by each recipient in accordance with its own regulations, rules, directives and procedures.</w:t>
      </w:r>
    </w:p>
    <w:p w14:paraId="484755C3" w14:textId="77777777" w:rsidR="005E59A5" w:rsidRPr="00216D32" w:rsidRDefault="005E59A5" w:rsidP="00D570C5"/>
    <w:p w14:paraId="73B200DD" w14:textId="435CBCCB" w:rsidR="005E59A5" w:rsidRPr="00216D32" w:rsidRDefault="005E59A5" w:rsidP="00D570C5">
      <w:r w:rsidRPr="00216D32">
        <w:t xml:space="preserve">The Recipient </w:t>
      </w:r>
      <w:r w:rsidR="00C64B7B" w:rsidRPr="00C64B7B">
        <w:t xml:space="preserve">Non-United Nations Organization </w:t>
      </w:r>
      <w:r w:rsidR="004D5B3D">
        <w:t>will</w:t>
      </w:r>
      <w:r w:rsidRPr="00216D32">
        <w:t xml:space="preserve"> have full responsibility for ensuring that the Activity is implemented in accordance with the signed Project Document;</w:t>
      </w:r>
    </w:p>
    <w:p w14:paraId="0ED81520" w14:textId="77777777" w:rsidR="005E59A5" w:rsidRPr="00216D32" w:rsidRDefault="005E59A5" w:rsidP="00D570C5"/>
    <w:p w14:paraId="12AF2367" w14:textId="77777777" w:rsidR="005E59A5" w:rsidRPr="00216D32" w:rsidRDefault="005E59A5" w:rsidP="00D570C5">
      <w:r w:rsidRPr="00216D32">
        <w:t>In the event of a financial review, audit or evaluation recommended by PBSO, the cost of such activity should be included in the project budget;</w:t>
      </w:r>
    </w:p>
    <w:p w14:paraId="63EDD16D" w14:textId="77777777" w:rsidR="005E59A5" w:rsidRPr="00216D32" w:rsidRDefault="005E59A5" w:rsidP="00D570C5"/>
    <w:p w14:paraId="3588267A" w14:textId="77777777" w:rsidR="005E59A5" w:rsidRPr="00216D32" w:rsidRDefault="005E59A5" w:rsidP="00D570C5">
      <w:r w:rsidRPr="00216D32">
        <w:t>Ensure professional management of the Activity, including performance monitoring and reporting activities in accordance with PBSO guidelines.</w:t>
      </w:r>
    </w:p>
    <w:p w14:paraId="4338F508" w14:textId="77777777" w:rsidR="005E59A5" w:rsidRPr="00216D32" w:rsidRDefault="005E59A5" w:rsidP="00D570C5"/>
    <w:p w14:paraId="7B1CFE28" w14:textId="4B14367D" w:rsidR="005E59A5" w:rsidRPr="00216D32" w:rsidRDefault="004D5B3D" w:rsidP="00D570C5">
      <w:r>
        <w:t>Ensure c</w:t>
      </w:r>
      <w:r w:rsidR="005E59A5" w:rsidRPr="00216D32">
        <w:t xml:space="preserve">ompliance </w:t>
      </w:r>
      <w:r w:rsidR="005E59A5">
        <w:t xml:space="preserve">with </w:t>
      </w:r>
      <w:r w:rsidR="005E59A5" w:rsidRPr="00216D32">
        <w:t>the Financing Agreement and relevant applicable clauses in the Fund MOU.</w:t>
      </w:r>
    </w:p>
    <w:p w14:paraId="54DF0DC2" w14:textId="77777777" w:rsidR="00C64B7B" w:rsidRDefault="00C64B7B" w:rsidP="00D570C5">
      <w:pPr>
        <w:rPr>
          <w:b/>
          <w:u w:val="single"/>
        </w:rPr>
      </w:pPr>
    </w:p>
    <w:p w14:paraId="224F44F6" w14:textId="3B352FF4" w:rsidR="005E59A5" w:rsidRDefault="005E59A5" w:rsidP="00D570C5">
      <w:pPr>
        <w:rPr>
          <w:b/>
        </w:rPr>
      </w:pPr>
      <w:r w:rsidRPr="00C64B7B">
        <w:rPr>
          <w:b/>
        </w:rPr>
        <w:t>Reporting:</w:t>
      </w:r>
    </w:p>
    <w:p w14:paraId="69744B4E" w14:textId="77777777" w:rsidR="00C64B7B" w:rsidRPr="00C64B7B" w:rsidRDefault="00C64B7B" w:rsidP="00D570C5">
      <w:pPr>
        <w:rPr>
          <w:b/>
        </w:rPr>
      </w:pPr>
    </w:p>
    <w:p w14:paraId="561551BB" w14:textId="77777777" w:rsidR="005E59A5" w:rsidRPr="00216D32" w:rsidRDefault="005E59A5" w:rsidP="00D570C5">
      <w:r w:rsidRPr="00216D32">
        <w:t>Each Receipt will provide the Administrative Agent and the PBSO (for narrative reports only) with:</w:t>
      </w:r>
    </w:p>
    <w:p w14:paraId="0AED4DE6" w14:textId="77777777" w:rsidR="005E59A5" w:rsidRPr="00216D32" w:rsidRDefault="005E59A5" w:rsidP="00D570C5"/>
    <w:tbl>
      <w:tblPr>
        <w:tblStyle w:val="TableGrid"/>
        <w:tblW w:w="9214" w:type="dxa"/>
        <w:tblInd w:w="-147" w:type="dxa"/>
        <w:tblLook w:val="04A0" w:firstRow="1" w:lastRow="0" w:firstColumn="1" w:lastColumn="0" w:noHBand="0" w:noVBand="1"/>
      </w:tblPr>
      <w:tblGrid>
        <w:gridCol w:w="2552"/>
        <w:gridCol w:w="2693"/>
        <w:gridCol w:w="3969"/>
      </w:tblGrid>
      <w:tr w:rsidR="00554325" w:rsidRPr="00185B5A" w14:paraId="6FE2329B" w14:textId="77777777" w:rsidTr="00554325">
        <w:tc>
          <w:tcPr>
            <w:tcW w:w="2552" w:type="dxa"/>
          </w:tcPr>
          <w:p w14:paraId="7EF24115" w14:textId="77777777" w:rsidR="00554325" w:rsidRPr="00185B5A" w:rsidRDefault="00554325" w:rsidP="00D570C5">
            <w:pPr>
              <w:pStyle w:val="ListParagraph"/>
              <w:spacing w:after="120"/>
              <w:ind w:left="0"/>
              <w:jc w:val="both"/>
              <w:rPr>
                <w:rFonts w:ascii="Times New Roman" w:hAnsi="Times New Roman"/>
              </w:rPr>
            </w:pPr>
            <w:r w:rsidRPr="00185B5A">
              <w:rPr>
                <w:rFonts w:ascii="Times New Roman" w:hAnsi="Times New Roman"/>
              </w:rPr>
              <w:t>Type of report</w:t>
            </w:r>
          </w:p>
        </w:tc>
        <w:tc>
          <w:tcPr>
            <w:tcW w:w="2693" w:type="dxa"/>
          </w:tcPr>
          <w:p w14:paraId="2EB7C5D4" w14:textId="77777777" w:rsidR="00554325" w:rsidRPr="00185B5A" w:rsidRDefault="00554325" w:rsidP="00D570C5">
            <w:pPr>
              <w:pStyle w:val="ListParagraph"/>
              <w:spacing w:after="120"/>
              <w:ind w:left="0"/>
              <w:jc w:val="both"/>
              <w:rPr>
                <w:rFonts w:ascii="Times New Roman" w:hAnsi="Times New Roman"/>
              </w:rPr>
            </w:pPr>
            <w:r w:rsidRPr="00185B5A">
              <w:rPr>
                <w:rFonts w:ascii="Times New Roman" w:hAnsi="Times New Roman"/>
              </w:rPr>
              <w:t>Due when</w:t>
            </w:r>
          </w:p>
        </w:tc>
        <w:tc>
          <w:tcPr>
            <w:tcW w:w="3969" w:type="dxa"/>
          </w:tcPr>
          <w:p w14:paraId="5B2D31F4" w14:textId="77777777" w:rsidR="00554325" w:rsidRPr="00185B5A" w:rsidRDefault="00554325" w:rsidP="00D570C5">
            <w:pPr>
              <w:pStyle w:val="ListParagraph"/>
              <w:spacing w:after="120"/>
              <w:ind w:left="0"/>
              <w:jc w:val="both"/>
              <w:rPr>
                <w:rFonts w:ascii="Times New Roman" w:hAnsi="Times New Roman"/>
              </w:rPr>
            </w:pPr>
            <w:r w:rsidRPr="00185B5A">
              <w:rPr>
                <w:rFonts w:ascii="Times New Roman" w:hAnsi="Times New Roman"/>
              </w:rPr>
              <w:t>Submitted by</w:t>
            </w:r>
          </w:p>
        </w:tc>
      </w:tr>
      <w:tr w:rsidR="00554325" w:rsidRPr="00185B5A" w14:paraId="70A5D205" w14:textId="77777777" w:rsidTr="00554325">
        <w:tc>
          <w:tcPr>
            <w:tcW w:w="2552" w:type="dxa"/>
          </w:tcPr>
          <w:p w14:paraId="53BC63C3" w14:textId="77777777" w:rsidR="00554325" w:rsidRPr="00185B5A" w:rsidRDefault="00554325" w:rsidP="00D570C5">
            <w:pPr>
              <w:pStyle w:val="ListParagraph"/>
              <w:spacing w:after="120"/>
              <w:ind w:left="0"/>
              <w:jc w:val="both"/>
              <w:rPr>
                <w:rFonts w:ascii="Times New Roman" w:hAnsi="Times New Roman"/>
              </w:rPr>
            </w:pPr>
            <w:r w:rsidRPr="00185B5A">
              <w:rPr>
                <w:rFonts w:ascii="Times New Roman" w:hAnsi="Times New Roman"/>
              </w:rPr>
              <w:t>Bi-annual project progress report</w:t>
            </w:r>
          </w:p>
        </w:tc>
        <w:tc>
          <w:tcPr>
            <w:tcW w:w="2693" w:type="dxa"/>
          </w:tcPr>
          <w:p w14:paraId="7D4C08A0" w14:textId="22AB5036" w:rsidR="00554325" w:rsidRPr="00185B5A" w:rsidRDefault="00554325" w:rsidP="00D570C5">
            <w:pPr>
              <w:pStyle w:val="ListParagraph"/>
              <w:spacing w:after="120"/>
              <w:ind w:left="0"/>
              <w:jc w:val="both"/>
              <w:rPr>
                <w:rFonts w:ascii="Times New Roman" w:hAnsi="Times New Roman"/>
              </w:rPr>
            </w:pPr>
            <w:r w:rsidRPr="00185B5A">
              <w:rPr>
                <w:rFonts w:ascii="Times New Roman" w:hAnsi="Times New Roman"/>
              </w:rPr>
              <w:t xml:space="preserve">15 June </w:t>
            </w:r>
          </w:p>
        </w:tc>
        <w:tc>
          <w:tcPr>
            <w:tcW w:w="3969" w:type="dxa"/>
          </w:tcPr>
          <w:p w14:paraId="68F3EBB1" w14:textId="77EFA406" w:rsidR="00554325" w:rsidRPr="00185B5A" w:rsidRDefault="00F42430" w:rsidP="00D570C5">
            <w:pPr>
              <w:pStyle w:val="ListParagraph"/>
              <w:spacing w:after="120"/>
              <w:ind w:left="0"/>
              <w:jc w:val="both"/>
              <w:rPr>
                <w:rFonts w:ascii="Times New Roman" w:hAnsi="Times New Roman"/>
              </w:rPr>
            </w:pPr>
            <w:r w:rsidRPr="00185B5A">
              <w:rPr>
                <w:rFonts w:ascii="Times New Roman" w:hAnsi="Times New Roman"/>
              </w:rPr>
              <w:t>Convening Agency</w:t>
            </w:r>
            <w:r w:rsidR="00554325" w:rsidRPr="00185B5A">
              <w:rPr>
                <w:rFonts w:ascii="Times New Roman" w:hAnsi="Times New Roman"/>
              </w:rPr>
              <w:t xml:space="preserve"> on behalf of all implementing organizations and in consultation with/ quality assurance by PBF Secretariats, where they exist</w:t>
            </w:r>
          </w:p>
        </w:tc>
      </w:tr>
      <w:tr w:rsidR="00973AE1" w:rsidRPr="00185B5A" w14:paraId="2752F464" w14:textId="77777777" w:rsidTr="00554325">
        <w:tc>
          <w:tcPr>
            <w:tcW w:w="2552" w:type="dxa"/>
          </w:tcPr>
          <w:p w14:paraId="1D500CCA" w14:textId="139AB1FA" w:rsidR="00973AE1" w:rsidRPr="00185B5A" w:rsidRDefault="00973AE1" w:rsidP="00D570C5">
            <w:pPr>
              <w:pStyle w:val="ListParagraph"/>
              <w:spacing w:after="120"/>
              <w:ind w:left="0"/>
              <w:jc w:val="both"/>
              <w:rPr>
                <w:rFonts w:ascii="Times New Roman" w:hAnsi="Times New Roman"/>
              </w:rPr>
            </w:pPr>
            <w:r w:rsidRPr="00185B5A">
              <w:rPr>
                <w:rFonts w:ascii="Times New Roman" w:hAnsi="Times New Roman"/>
              </w:rPr>
              <w:t>Annual project progress report</w:t>
            </w:r>
          </w:p>
        </w:tc>
        <w:tc>
          <w:tcPr>
            <w:tcW w:w="2693" w:type="dxa"/>
          </w:tcPr>
          <w:p w14:paraId="23075037" w14:textId="30AA780C" w:rsidR="00973AE1" w:rsidRPr="00185B5A" w:rsidRDefault="00973AE1" w:rsidP="00D570C5">
            <w:pPr>
              <w:pStyle w:val="ListParagraph"/>
              <w:spacing w:after="120"/>
              <w:ind w:left="0"/>
              <w:jc w:val="both"/>
              <w:rPr>
                <w:rFonts w:ascii="Times New Roman" w:hAnsi="Times New Roman"/>
              </w:rPr>
            </w:pPr>
            <w:r w:rsidRPr="00185B5A">
              <w:rPr>
                <w:rFonts w:ascii="Times New Roman" w:hAnsi="Times New Roman"/>
              </w:rPr>
              <w:t>15 November</w:t>
            </w:r>
          </w:p>
        </w:tc>
        <w:tc>
          <w:tcPr>
            <w:tcW w:w="3969" w:type="dxa"/>
          </w:tcPr>
          <w:p w14:paraId="6A9D159C" w14:textId="16CC2EFE" w:rsidR="00973AE1" w:rsidRPr="00185B5A" w:rsidRDefault="00973AE1" w:rsidP="00D570C5">
            <w:pPr>
              <w:pStyle w:val="ListParagraph"/>
              <w:spacing w:after="120"/>
              <w:ind w:left="0"/>
              <w:jc w:val="both"/>
              <w:rPr>
                <w:rFonts w:ascii="Times New Roman" w:hAnsi="Times New Roman"/>
              </w:rPr>
            </w:pPr>
            <w:r w:rsidRPr="00185B5A">
              <w:rPr>
                <w:rFonts w:ascii="Times New Roman" w:hAnsi="Times New Roman"/>
              </w:rPr>
              <w:t>Convening Agency on behalf of all implementing organizations and in consultation with/ quality assurance by PBF Secretariats, where they exist</w:t>
            </w:r>
          </w:p>
        </w:tc>
      </w:tr>
      <w:tr w:rsidR="00554325" w:rsidRPr="00185B5A" w14:paraId="00EDABDD" w14:textId="77777777" w:rsidTr="00554325">
        <w:tc>
          <w:tcPr>
            <w:tcW w:w="2552" w:type="dxa"/>
          </w:tcPr>
          <w:p w14:paraId="2476F929" w14:textId="77777777" w:rsidR="00554325" w:rsidRPr="00185B5A" w:rsidRDefault="00554325" w:rsidP="00D570C5">
            <w:pPr>
              <w:pStyle w:val="ListParagraph"/>
              <w:spacing w:after="120"/>
              <w:ind w:left="0"/>
              <w:jc w:val="both"/>
              <w:rPr>
                <w:rFonts w:ascii="Times New Roman" w:hAnsi="Times New Roman"/>
              </w:rPr>
            </w:pPr>
            <w:r w:rsidRPr="00185B5A">
              <w:rPr>
                <w:rFonts w:ascii="Times New Roman" w:hAnsi="Times New Roman"/>
              </w:rPr>
              <w:t>End of project report covering entire project duration</w:t>
            </w:r>
          </w:p>
        </w:tc>
        <w:tc>
          <w:tcPr>
            <w:tcW w:w="2693" w:type="dxa"/>
          </w:tcPr>
          <w:p w14:paraId="034170BE" w14:textId="77777777" w:rsidR="00554325" w:rsidRPr="00185B5A" w:rsidRDefault="00554325" w:rsidP="00D570C5">
            <w:pPr>
              <w:pStyle w:val="ListParagraph"/>
              <w:spacing w:after="120"/>
              <w:ind w:left="0"/>
              <w:jc w:val="both"/>
              <w:rPr>
                <w:rFonts w:ascii="Times New Roman" w:hAnsi="Times New Roman"/>
              </w:rPr>
            </w:pPr>
            <w:r w:rsidRPr="00185B5A">
              <w:rPr>
                <w:rFonts w:ascii="Times New Roman" w:hAnsi="Times New Roman"/>
              </w:rPr>
              <w:t>Within three months from the operational project closure (it can be submitted instead of an annual report if timing coincides)</w:t>
            </w:r>
          </w:p>
        </w:tc>
        <w:tc>
          <w:tcPr>
            <w:tcW w:w="3969" w:type="dxa"/>
          </w:tcPr>
          <w:p w14:paraId="008ECA25" w14:textId="1A24264B" w:rsidR="00554325" w:rsidRPr="00185B5A" w:rsidRDefault="00F42430" w:rsidP="00D570C5">
            <w:pPr>
              <w:pStyle w:val="ListParagraph"/>
              <w:spacing w:after="120"/>
              <w:ind w:left="0"/>
              <w:jc w:val="both"/>
              <w:rPr>
                <w:rFonts w:ascii="Times New Roman" w:hAnsi="Times New Roman"/>
              </w:rPr>
            </w:pPr>
            <w:r w:rsidRPr="00185B5A">
              <w:rPr>
                <w:rFonts w:ascii="Times New Roman" w:hAnsi="Times New Roman"/>
              </w:rPr>
              <w:t>Convening Agency</w:t>
            </w:r>
            <w:r w:rsidR="00554325" w:rsidRPr="00185B5A">
              <w:rPr>
                <w:rFonts w:ascii="Times New Roman" w:hAnsi="Times New Roman"/>
              </w:rPr>
              <w:t xml:space="preserve"> on behalf of all implementing organizations and in consultation with/ quality assurance by PBF Secretariats, where they exist</w:t>
            </w:r>
          </w:p>
        </w:tc>
      </w:tr>
      <w:tr w:rsidR="00554325" w:rsidRPr="00185B5A" w14:paraId="54AA1908" w14:textId="77777777" w:rsidTr="00554325">
        <w:tc>
          <w:tcPr>
            <w:tcW w:w="2552" w:type="dxa"/>
          </w:tcPr>
          <w:p w14:paraId="38E6ED29" w14:textId="2130F53F" w:rsidR="00554325" w:rsidRPr="00185B5A" w:rsidRDefault="00554325" w:rsidP="00D570C5">
            <w:pPr>
              <w:pStyle w:val="ListParagraph"/>
              <w:spacing w:after="120"/>
              <w:ind w:left="0"/>
              <w:jc w:val="both"/>
              <w:rPr>
                <w:rFonts w:ascii="Times New Roman" w:hAnsi="Times New Roman"/>
              </w:rPr>
            </w:pPr>
            <w:r w:rsidRPr="00185B5A">
              <w:rPr>
                <w:rFonts w:ascii="Times New Roman" w:hAnsi="Times New Roman"/>
              </w:rPr>
              <w:t xml:space="preserve">Annual strategic peacebuilding and PBF progress report (for PRF allocations only), which may contain a request for additional PBF allocation if the context requires it </w:t>
            </w:r>
          </w:p>
        </w:tc>
        <w:tc>
          <w:tcPr>
            <w:tcW w:w="2693" w:type="dxa"/>
          </w:tcPr>
          <w:p w14:paraId="0E25073C" w14:textId="77777777" w:rsidR="00554325" w:rsidRPr="00185B5A" w:rsidRDefault="00554325" w:rsidP="00D570C5">
            <w:pPr>
              <w:pStyle w:val="ListParagraph"/>
              <w:spacing w:after="120"/>
              <w:ind w:left="0"/>
              <w:jc w:val="both"/>
              <w:rPr>
                <w:rFonts w:ascii="Times New Roman" w:hAnsi="Times New Roman"/>
              </w:rPr>
            </w:pPr>
            <w:r w:rsidRPr="00185B5A">
              <w:rPr>
                <w:rFonts w:ascii="Times New Roman" w:hAnsi="Times New Roman"/>
              </w:rPr>
              <w:t>1 December</w:t>
            </w:r>
          </w:p>
        </w:tc>
        <w:tc>
          <w:tcPr>
            <w:tcW w:w="3969" w:type="dxa"/>
          </w:tcPr>
          <w:p w14:paraId="3D933D79" w14:textId="77777777" w:rsidR="00554325" w:rsidRPr="00185B5A" w:rsidRDefault="00554325" w:rsidP="00D570C5">
            <w:pPr>
              <w:pStyle w:val="ListParagraph"/>
              <w:spacing w:after="120"/>
              <w:ind w:left="0"/>
              <w:jc w:val="both"/>
              <w:rPr>
                <w:rFonts w:ascii="Times New Roman" w:hAnsi="Times New Roman"/>
              </w:rPr>
            </w:pPr>
            <w:r w:rsidRPr="00185B5A">
              <w:rPr>
                <w:rFonts w:ascii="Times New Roman" w:hAnsi="Times New Roman"/>
              </w:rPr>
              <w:t>PBF Secretariat on behalf of the PBF Steering Committee, where it exists or Head of UN Country Team where it does not.</w:t>
            </w:r>
          </w:p>
        </w:tc>
      </w:tr>
    </w:tbl>
    <w:p w14:paraId="6706C996" w14:textId="26CE0AD1" w:rsidR="00F42430" w:rsidRDefault="00F42430" w:rsidP="00D570C5">
      <w:pPr>
        <w:ind w:left="360"/>
      </w:pPr>
    </w:p>
    <w:p w14:paraId="4EC8E8E2" w14:textId="6375FBA6" w:rsidR="00554325" w:rsidRPr="00F42430" w:rsidRDefault="00F42430" w:rsidP="00D570C5">
      <w:pPr>
        <w:ind w:left="360"/>
      </w:pPr>
      <w:r>
        <w:t>F</w:t>
      </w:r>
      <w:r>
        <w:rPr>
          <w:sz w:val="22"/>
          <w:szCs w:val="22"/>
          <w:lang w:eastAsia="en-GB"/>
        </w:rPr>
        <w:t>inancial reports and</w:t>
      </w:r>
      <w:r w:rsidR="00554325" w:rsidRPr="0072278F">
        <w:rPr>
          <w:sz w:val="22"/>
          <w:szCs w:val="22"/>
          <w:lang w:eastAsia="en-GB"/>
        </w:rPr>
        <w:t xml:space="preserve"> timeline</w:t>
      </w:r>
    </w:p>
    <w:p w14:paraId="0C9AFA8D" w14:textId="77777777" w:rsidR="00554325" w:rsidRPr="0072278F" w:rsidRDefault="00554325" w:rsidP="00D570C5">
      <w:pPr>
        <w:jc w:val="both"/>
        <w:rPr>
          <w:sz w:val="22"/>
          <w:szCs w:val="22"/>
          <w:lang w:eastAsia="en-GB"/>
        </w:rPr>
      </w:pPr>
    </w:p>
    <w:tbl>
      <w:tblPr>
        <w:tblW w:w="92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313"/>
      </w:tblGrid>
      <w:tr w:rsidR="00554325" w:rsidRPr="0072278F" w14:paraId="7F54F4B4" w14:textId="77777777" w:rsidTr="00554325">
        <w:tc>
          <w:tcPr>
            <w:tcW w:w="1942" w:type="dxa"/>
            <w:shd w:val="clear" w:color="auto" w:fill="E2EFD9"/>
          </w:tcPr>
          <w:p w14:paraId="308A9B89" w14:textId="77777777" w:rsidR="00554325" w:rsidRPr="0072278F" w:rsidRDefault="00554325" w:rsidP="00D570C5">
            <w:pPr>
              <w:jc w:val="both"/>
              <w:rPr>
                <w:b/>
                <w:sz w:val="22"/>
                <w:szCs w:val="22"/>
                <w:lang w:eastAsia="en-GB"/>
              </w:rPr>
            </w:pPr>
            <w:r w:rsidRPr="0072278F">
              <w:rPr>
                <w:b/>
                <w:sz w:val="22"/>
                <w:szCs w:val="22"/>
                <w:lang w:eastAsia="en-GB"/>
              </w:rPr>
              <w:t>Timeline</w:t>
            </w:r>
          </w:p>
        </w:tc>
        <w:tc>
          <w:tcPr>
            <w:tcW w:w="7313" w:type="dxa"/>
            <w:shd w:val="clear" w:color="auto" w:fill="E2EFD9"/>
          </w:tcPr>
          <w:p w14:paraId="507DA5F8" w14:textId="77777777" w:rsidR="00554325" w:rsidRPr="0072278F" w:rsidRDefault="00554325" w:rsidP="00D570C5">
            <w:pPr>
              <w:jc w:val="both"/>
              <w:rPr>
                <w:b/>
                <w:sz w:val="22"/>
                <w:szCs w:val="22"/>
                <w:lang w:eastAsia="en-GB"/>
              </w:rPr>
            </w:pPr>
            <w:r w:rsidRPr="0072278F">
              <w:rPr>
                <w:b/>
                <w:sz w:val="22"/>
                <w:szCs w:val="22"/>
                <w:lang w:eastAsia="en-GB"/>
              </w:rPr>
              <w:t>Event</w:t>
            </w:r>
          </w:p>
        </w:tc>
      </w:tr>
      <w:tr w:rsidR="00554325" w:rsidRPr="0072278F" w14:paraId="3D4BAB9B" w14:textId="77777777" w:rsidTr="00554325">
        <w:tc>
          <w:tcPr>
            <w:tcW w:w="1942" w:type="dxa"/>
            <w:shd w:val="clear" w:color="auto" w:fill="auto"/>
          </w:tcPr>
          <w:p w14:paraId="793CA6E2" w14:textId="77777777" w:rsidR="00554325" w:rsidRPr="0072278F" w:rsidRDefault="00554325" w:rsidP="00D570C5">
            <w:pPr>
              <w:jc w:val="both"/>
              <w:rPr>
                <w:b/>
                <w:sz w:val="22"/>
                <w:szCs w:val="22"/>
                <w:lang w:eastAsia="en-GB"/>
              </w:rPr>
            </w:pPr>
            <w:r>
              <w:rPr>
                <w:b/>
                <w:sz w:val="22"/>
                <w:szCs w:val="22"/>
                <w:lang w:eastAsia="en-GB"/>
              </w:rPr>
              <w:t xml:space="preserve">28 </w:t>
            </w:r>
            <w:r w:rsidRPr="0072278F">
              <w:rPr>
                <w:b/>
                <w:sz w:val="22"/>
                <w:szCs w:val="22"/>
                <w:lang w:eastAsia="en-GB"/>
              </w:rPr>
              <w:t>February</w:t>
            </w:r>
          </w:p>
        </w:tc>
        <w:tc>
          <w:tcPr>
            <w:tcW w:w="7313" w:type="dxa"/>
            <w:shd w:val="clear" w:color="auto" w:fill="auto"/>
          </w:tcPr>
          <w:p w14:paraId="26DB11EE" w14:textId="77777777" w:rsidR="00554325" w:rsidRPr="0072278F" w:rsidRDefault="00554325" w:rsidP="00D570C5">
            <w:pPr>
              <w:jc w:val="both"/>
              <w:rPr>
                <w:sz w:val="22"/>
                <w:szCs w:val="22"/>
                <w:lang w:eastAsia="en-GB"/>
              </w:rPr>
            </w:pPr>
            <w:r w:rsidRPr="0072278F">
              <w:rPr>
                <w:sz w:val="22"/>
                <w:szCs w:val="22"/>
                <w:lang w:eastAsia="en-GB"/>
              </w:rPr>
              <w:t xml:space="preserve">Annual </w:t>
            </w:r>
            <w:proofErr w:type="gramStart"/>
            <w:r w:rsidRPr="0072278F">
              <w:rPr>
                <w:sz w:val="22"/>
                <w:szCs w:val="22"/>
                <w:lang w:eastAsia="en-GB"/>
              </w:rPr>
              <w:t>reporting  –</w:t>
            </w:r>
            <w:proofErr w:type="gramEnd"/>
            <w:r w:rsidRPr="0072278F">
              <w:rPr>
                <w:sz w:val="22"/>
                <w:szCs w:val="22"/>
                <w:lang w:eastAsia="en-GB"/>
              </w:rPr>
              <w:t xml:space="preserve">  Report </w:t>
            </w:r>
            <w:r w:rsidRPr="0072278F">
              <w:rPr>
                <w:b/>
                <w:sz w:val="22"/>
                <w:szCs w:val="22"/>
                <w:lang w:eastAsia="en-GB"/>
              </w:rPr>
              <w:t>Q4 expenses</w:t>
            </w:r>
            <w:r w:rsidRPr="0072278F">
              <w:rPr>
                <w:sz w:val="22"/>
                <w:szCs w:val="22"/>
                <w:lang w:eastAsia="en-GB"/>
              </w:rPr>
              <w:t xml:space="preserve"> (Jan. to Dec. of previous year)</w:t>
            </w:r>
          </w:p>
        </w:tc>
      </w:tr>
      <w:tr w:rsidR="00554325" w:rsidRPr="0072278F" w14:paraId="6EFB0AB1" w14:textId="77777777" w:rsidTr="00554325">
        <w:tc>
          <w:tcPr>
            <w:tcW w:w="1942" w:type="dxa"/>
            <w:shd w:val="clear" w:color="auto" w:fill="auto"/>
          </w:tcPr>
          <w:p w14:paraId="1B03327A" w14:textId="77777777" w:rsidR="00554325" w:rsidRPr="0072278F" w:rsidRDefault="00554325" w:rsidP="00D570C5">
            <w:pPr>
              <w:jc w:val="both"/>
              <w:rPr>
                <w:b/>
                <w:sz w:val="22"/>
                <w:szCs w:val="22"/>
                <w:lang w:eastAsia="en-GB"/>
              </w:rPr>
            </w:pPr>
            <w:r>
              <w:rPr>
                <w:b/>
                <w:sz w:val="22"/>
                <w:szCs w:val="22"/>
                <w:lang w:eastAsia="en-GB"/>
              </w:rPr>
              <w:t xml:space="preserve">30 </w:t>
            </w:r>
            <w:r w:rsidRPr="0072278F">
              <w:rPr>
                <w:b/>
                <w:sz w:val="22"/>
                <w:szCs w:val="22"/>
                <w:lang w:eastAsia="en-GB"/>
              </w:rPr>
              <w:t>April</w:t>
            </w:r>
          </w:p>
        </w:tc>
        <w:tc>
          <w:tcPr>
            <w:tcW w:w="7313" w:type="dxa"/>
            <w:shd w:val="clear" w:color="auto" w:fill="auto"/>
          </w:tcPr>
          <w:p w14:paraId="64B42BA3" w14:textId="77777777" w:rsidR="00554325" w:rsidRPr="0072278F" w:rsidRDefault="00554325" w:rsidP="00D570C5">
            <w:pPr>
              <w:jc w:val="both"/>
              <w:rPr>
                <w:sz w:val="22"/>
                <w:szCs w:val="22"/>
                <w:lang w:eastAsia="en-GB"/>
              </w:rPr>
            </w:pPr>
            <w:r w:rsidRPr="0072278F">
              <w:rPr>
                <w:sz w:val="22"/>
                <w:szCs w:val="22"/>
                <w:lang w:eastAsia="en-GB"/>
              </w:rPr>
              <w:t xml:space="preserve">Report </w:t>
            </w:r>
            <w:r w:rsidRPr="0072278F">
              <w:rPr>
                <w:b/>
                <w:sz w:val="22"/>
                <w:szCs w:val="22"/>
                <w:lang w:eastAsia="en-GB"/>
              </w:rPr>
              <w:t xml:space="preserve">Q1 expenses </w:t>
            </w:r>
            <w:r w:rsidRPr="0072278F">
              <w:rPr>
                <w:sz w:val="22"/>
                <w:szCs w:val="22"/>
                <w:lang w:eastAsia="en-GB"/>
              </w:rPr>
              <w:t xml:space="preserve">(January to March) </w:t>
            </w:r>
          </w:p>
        </w:tc>
      </w:tr>
      <w:tr w:rsidR="00554325" w:rsidRPr="0072278F" w14:paraId="1720BCE6" w14:textId="77777777" w:rsidTr="00554325">
        <w:tc>
          <w:tcPr>
            <w:tcW w:w="1942" w:type="dxa"/>
            <w:shd w:val="clear" w:color="auto" w:fill="auto"/>
          </w:tcPr>
          <w:p w14:paraId="2FD61985" w14:textId="77777777" w:rsidR="00554325" w:rsidRPr="0072278F" w:rsidRDefault="00554325" w:rsidP="00D570C5">
            <w:pPr>
              <w:jc w:val="both"/>
              <w:rPr>
                <w:b/>
                <w:sz w:val="22"/>
                <w:szCs w:val="22"/>
                <w:lang w:eastAsia="en-GB"/>
              </w:rPr>
            </w:pPr>
            <w:r>
              <w:rPr>
                <w:b/>
                <w:sz w:val="22"/>
                <w:szCs w:val="22"/>
                <w:lang w:eastAsia="en-GB"/>
              </w:rPr>
              <w:t xml:space="preserve">31 </w:t>
            </w:r>
            <w:r w:rsidRPr="0072278F">
              <w:rPr>
                <w:b/>
                <w:sz w:val="22"/>
                <w:szCs w:val="22"/>
                <w:lang w:eastAsia="en-GB"/>
              </w:rPr>
              <w:t xml:space="preserve">July </w:t>
            </w:r>
          </w:p>
        </w:tc>
        <w:tc>
          <w:tcPr>
            <w:tcW w:w="7313" w:type="dxa"/>
            <w:shd w:val="clear" w:color="auto" w:fill="auto"/>
          </w:tcPr>
          <w:p w14:paraId="439DC87A" w14:textId="77777777" w:rsidR="00554325" w:rsidRPr="0072278F" w:rsidRDefault="00554325" w:rsidP="00D570C5">
            <w:pPr>
              <w:jc w:val="both"/>
              <w:rPr>
                <w:sz w:val="22"/>
                <w:szCs w:val="22"/>
                <w:lang w:eastAsia="en-GB"/>
              </w:rPr>
            </w:pPr>
            <w:r w:rsidRPr="0072278F">
              <w:rPr>
                <w:sz w:val="22"/>
                <w:szCs w:val="22"/>
                <w:lang w:eastAsia="en-GB"/>
              </w:rPr>
              <w:t xml:space="preserve">Report </w:t>
            </w:r>
            <w:r w:rsidRPr="0072278F">
              <w:rPr>
                <w:b/>
                <w:sz w:val="22"/>
                <w:szCs w:val="22"/>
                <w:lang w:eastAsia="en-GB"/>
              </w:rPr>
              <w:t xml:space="preserve">Q2 expenses </w:t>
            </w:r>
            <w:r w:rsidRPr="0072278F">
              <w:rPr>
                <w:sz w:val="22"/>
                <w:szCs w:val="22"/>
                <w:lang w:eastAsia="en-GB"/>
              </w:rPr>
              <w:t>(January to June)</w:t>
            </w:r>
          </w:p>
        </w:tc>
      </w:tr>
      <w:tr w:rsidR="00554325" w:rsidRPr="0072278F" w14:paraId="2BC8C283" w14:textId="77777777" w:rsidTr="00554325">
        <w:tc>
          <w:tcPr>
            <w:tcW w:w="1942" w:type="dxa"/>
            <w:shd w:val="clear" w:color="auto" w:fill="auto"/>
          </w:tcPr>
          <w:p w14:paraId="5DFB8F75" w14:textId="77777777" w:rsidR="00554325" w:rsidRPr="0072278F" w:rsidRDefault="00554325" w:rsidP="00D570C5">
            <w:pPr>
              <w:jc w:val="both"/>
              <w:rPr>
                <w:b/>
                <w:sz w:val="22"/>
                <w:szCs w:val="22"/>
                <w:lang w:eastAsia="en-GB"/>
              </w:rPr>
            </w:pPr>
            <w:r>
              <w:rPr>
                <w:b/>
                <w:sz w:val="22"/>
                <w:szCs w:val="22"/>
                <w:lang w:eastAsia="en-GB"/>
              </w:rPr>
              <w:t xml:space="preserve">31 </w:t>
            </w:r>
            <w:r w:rsidRPr="0072278F">
              <w:rPr>
                <w:b/>
                <w:sz w:val="22"/>
                <w:szCs w:val="22"/>
                <w:lang w:eastAsia="en-GB"/>
              </w:rPr>
              <w:t>October</w:t>
            </w:r>
          </w:p>
        </w:tc>
        <w:tc>
          <w:tcPr>
            <w:tcW w:w="7313" w:type="dxa"/>
            <w:shd w:val="clear" w:color="auto" w:fill="auto"/>
          </w:tcPr>
          <w:p w14:paraId="16BB556C" w14:textId="77777777" w:rsidR="00554325" w:rsidRPr="0072278F" w:rsidRDefault="00554325" w:rsidP="00D570C5">
            <w:pPr>
              <w:jc w:val="both"/>
              <w:rPr>
                <w:sz w:val="22"/>
                <w:szCs w:val="22"/>
                <w:lang w:eastAsia="en-GB"/>
              </w:rPr>
            </w:pPr>
            <w:r w:rsidRPr="0072278F">
              <w:rPr>
                <w:sz w:val="22"/>
                <w:szCs w:val="22"/>
                <w:lang w:eastAsia="en-GB"/>
              </w:rPr>
              <w:t xml:space="preserve">Report </w:t>
            </w:r>
            <w:r w:rsidRPr="0072278F">
              <w:rPr>
                <w:b/>
                <w:sz w:val="22"/>
                <w:szCs w:val="22"/>
                <w:lang w:eastAsia="en-GB"/>
              </w:rPr>
              <w:t xml:space="preserve">Q3 expenses </w:t>
            </w:r>
            <w:r w:rsidRPr="0072278F">
              <w:rPr>
                <w:sz w:val="22"/>
                <w:szCs w:val="22"/>
                <w:lang w:eastAsia="en-GB"/>
              </w:rPr>
              <w:t>(January to September)</w:t>
            </w:r>
            <w:r w:rsidRPr="0072278F">
              <w:rPr>
                <w:b/>
                <w:sz w:val="22"/>
                <w:szCs w:val="22"/>
                <w:lang w:eastAsia="en-GB"/>
              </w:rPr>
              <w:t xml:space="preserve"> </w:t>
            </w:r>
          </w:p>
        </w:tc>
      </w:tr>
      <w:tr w:rsidR="00554325" w:rsidRPr="0072278F" w14:paraId="1D56F686" w14:textId="77777777" w:rsidTr="00554325">
        <w:tc>
          <w:tcPr>
            <w:tcW w:w="9255" w:type="dxa"/>
            <w:gridSpan w:val="2"/>
            <w:shd w:val="clear" w:color="auto" w:fill="auto"/>
          </w:tcPr>
          <w:p w14:paraId="4FDAF0DC" w14:textId="77777777" w:rsidR="00554325" w:rsidRPr="0072278F" w:rsidRDefault="00554325" w:rsidP="00D570C5">
            <w:pPr>
              <w:jc w:val="both"/>
              <w:rPr>
                <w:b/>
                <w:i/>
                <w:sz w:val="22"/>
                <w:szCs w:val="22"/>
                <w:lang w:eastAsia="en-GB"/>
              </w:rPr>
            </w:pPr>
            <w:r w:rsidRPr="0072278F">
              <w:rPr>
                <w:b/>
                <w:i/>
                <w:sz w:val="22"/>
                <w:szCs w:val="22"/>
                <w:lang w:eastAsia="en-GB"/>
              </w:rPr>
              <w:t>Certified final financial report to be provided at the quarter following the project financial closure</w:t>
            </w:r>
          </w:p>
        </w:tc>
      </w:tr>
    </w:tbl>
    <w:p w14:paraId="3AB1B711" w14:textId="77777777" w:rsidR="00554325" w:rsidRPr="00554325" w:rsidRDefault="00554325" w:rsidP="00D570C5">
      <w:pPr>
        <w:ind w:left="360"/>
      </w:pPr>
    </w:p>
    <w:p w14:paraId="752044E1" w14:textId="7262BD5D" w:rsidR="005E59A5" w:rsidRPr="00216D32" w:rsidRDefault="005E59A5" w:rsidP="00D570C5">
      <w:r w:rsidRPr="00216D32">
        <w:t xml:space="preserve">Unspent Balance </w:t>
      </w:r>
      <w:r w:rsidR="00F42430">
        <w:rPr>
          <w:sz w:val="22"/>
          <w:szCs w:val="22"/>
        </w:rPr>
        <w:t xml:space="preserve">exceeding USD 250 </w:t>
      </w:r>
      <w:r w:rsidRPr="00216D32">
        <w:t>at the closure of the project would have to been refunded and a notification sent to the Administrative Agent</w:t>
      </w:r>
      <w:r>
        <w:t>, no later than three months (31</w:t>
      </w:r>
      <w:r w:rsidRPr="00216D32">
        <w:t xml:space="preserve"> March) of the year following the completion of the activities.</w:t>
      </w:r>
    </w:p>
    <w:p w14:paraId="71FF5BE7" w14:textId="77777777" w:rsidR="005E59A5" w:rsidRPr="00C64B7B" w:rsidRDefault="005E59A5" w:rsidP="00D570C5">
      <w:pPr>
        <w:rPr>
          <w:b/>
        </w:rPr>
      </w:pPr>
      <w:r w:rsidRPr="00C64B7B">
        <w:br/>
      </w:r>
      <w:r w:rsidRPr="00C64B7B">
        <w:rPr>
          <w:b/>
        </w:rPr>
        <w:t>Ownership of Equipment, Supplies and Other Property</w:t>
      </w:r>
    </w:p>
    <w:p w14:paraId="6C75A9F9" w14:textId="77777777" w:rsidR="005E59A5" w:rsidRPr="00216D32" w:rsidRDefault="005E59A5" w:rsidP="00D570C5">
      <w:r w:rsidRPr="00216D32">
        <w:t xml:space="preserve"> </w:t>
      </w:r>
    </w:p>
    <w:p w14:paraId="79069570" w14:textId="122308AD" w:rsidR="005E59A5" w:rsidRPr="00216D32" w:rsidRDefault="005E59A5" w:rsidP="00D570C5">
      <w:r w:rsidRPr="00216D32">
        <w:t xml:space="preserve">Matters relating to the transfer of ownership by the Recipient </w:t>
      </w:r>
      <w:r w:rsidR="00C64B7B" w:rsidRPr="00190DDF">
        <w:t>Non-</w:t>
      </w:r>
      <w:r w:rsidR="004D5B3D">
        <w:t>UN Recipient</w:t>
      </w:r>
      <w:r w:rsidR="00C64B7B" w:rsidRPr="00190DDF">
        <w:t xml:space="preserve"> </w:t>
      </w:r>
      <w:r w:rsidR="00C64B7B" w:rsidRPr="00216D32">
        <w:t xml:space="preserve">Organization </w:t>
      </w:r>
      <w:r w:rsidR="004D5B3D">
        <w:t>will</w:t>
      </w:r>
      <w:r w:rsidRPr="00216D32">
        <w:t xml:space="preserve"> be determined in accordance with applicable policies and procedures defined by the PBSO. </w:t>
      </w:r>
    </w:p>
    <w:p w14:paraId="0C9FDDC1" w14:textId="1FE6FF8D" w:rsidR="005E59A5" w:rsidRPr="004D5B3D" w:rsidRDefault="005E59A5" w:rsidP="00D570C5">
      <w:pPr>
        <w:rPr>
          <w:b/>
          <w:bCs/>
        </w:rPr>
      </w:pPr>
      <w:r w:rsidRPr="00216D32">
        <w:rPr>
          <w:u w:val="single"/>
        </w:rPr>
        <w:br/>
      </w:r>
      <w:r w:rsidRPr="004D5B3D">
        <w:rPr>
          <w:b/>
          <w:bCs/>
        </w:rPr>
        <w:t>Public Disclosure</w:t>
      </w:r>
    </w:p>
    <w:p w14:paraId="6C0AF686" w14:textId="77777777" w:rsidR="005E59A5" w:rsidRPr="00216D32" w:rsidRDefault="005E59A5" w:rsidP="00D570C5">
      <w:r w:rsidRPr="00216D32">
        <w:br/>
        <w:t>The PBSO and Administrative Agent will ensure that operations of the PBF are publicly disclosed on the PBF website (http://unpbf.org) and the Administrative Agent website (</w:t>
      </w:r>
      <w:proofErr w:type="gramStart"/>
      <w:r w:rsidRPr="00216D32">
        <w:t>http:www.mptf.undp.org</w:t>
      </w:r>
      <w:proofErr w:type="gramEnd"/>
      <w:r w:rsidRPr="00216D32">
        <w:t>)</w:t>
      </w:r>
    </w:p>
    <w:p w14:paraId="4C8EA2C0" w14:textId="77777777" w:rsidR="00CD2D34" w:rsidRPr="006629A5" w:rsidRDefault="00CD2D34" w:rsidP="00D570C5">
      <w:pPr>
        <w:rPr>
          <w:b/>
        </w:rPr>
      </w:pPr>
    </w:p>
    <w:p w14:paraId="6D429E6A" w14:textId="7BE691C5" w:rsidR="002E482A" w:rsidRPr="004D5B3D" w:rsidRDefault="00B65B64" w:rsidP="00D570C5">
      <w:pPr>
        <w:rPr>
          <w:b/>
          <w:bCs/>
        </w:rPr>
      </w:pPr>
      <w:r w:rsidRPr="004D5B3D">
        <w:rPr>
          <w:b/>
          <w:bCs/>
        </w:rPr>
        <w:t xml:space="preserve">Final Project Audit for </w:t>
      </w:r>
      <w:r w:rsidR="00973AE1">
        <w:rPr>
          <w:b/>
          <w:bCs/>
        </w:rPr>
        <w:t>non-UN recipient organization</w:t>
      </w:r>
      <w:r w:rsidR="00973AE1" w:rsidRPr="004D5B3D">
        <w:rPr>
          <w:b/>
          <w:bCs/>
        </w:rPr>
        <w:t xml:space="preserve"> </w:t>
      </w:r>
      <w:r w:rsidRPr="004D5B3D">
        <w:rPr>
          <w:b/>
          <w:bCs/>
        </w:rPr>
        <w:t>projects</w:t>
      </w:r>
    </w:p>
    <w:p w14:paraId="5F2F9872" w14:textId="22CD29AD" w:rsidR="00B65B64" w:rsidRDefault="00B65B64" w:rsidP="00D570C5">
      <w:pPr>
        <w:jc w:val="both"/>
        <w:rPr>
          <w:sz w:val="22"/>
          <w:szCs w:val="22"/>
        </w:rPr>
      </w:pPr>
    </w:p>
    <w:p w14:paraId="33C49789" w14:textId="796CA184" w:rsidR="00B65B64" w:rsidRPr="00185B5A" w:rsidRDefault="00B65B64" w:rsidP="00D570C5">
      <w:pPr>
        <w:jc w:val="both"/>
      </w:pPr>
      <w:r w:rsidRPr="00185B5A">
        <w:t xml:space="preserve">An independent project audit will be requested by the end of the project. The audit report needs to be attached to the final narrative project report. The cost of such activity must be included in the project budget. </w:t>
      </w:r>
    </w:p>
    <w:p w14:paraId="758E82EE" w14:textId="2B62A1D3" w:rsidR="00B65B64" w:rsidRDefault="00B65B64" w:rsidP="00D570C5">
      <w:pPr>
        <w:jc w:val="both"/>
        <w:rPr>
          <w:sz w:val="22"/>
          <w:szCs w:val="22"/>
        </w:rPr>
      </w:pPr>
    </w:p>
    <w:p w14:paraId="0F710D7B" w14:textId="77777777" w:rsidR="00C478EA" w:rsidRPr="00C478EA" w:rsidRDefault="00C478EA" w:rsidP="00D570C5">
      <w:pPr>
        <w:suppressAutoHyphens/>
        <w:snapToGrid w:val="0"/>
        <w:jc w:val="both"/>
        <w:rPr>
          <w:b/>
          <w:color w:val="000000"/>
          <w:lang w:eastAsia="ar-SA"/>
        </w:rPr>
      </w:pPr>
      <w:r w:rsidRPr="00C478EA">
        <w:rPr>
          <w:b/>
          <w:color w:val="000000"/>
          <w:lang w:eastAsia="ar-SA"/>
        </w:rPr>
        <w:t>Special Provisions regarding Financing of Terrorism</w:t>
      </w:r>
    </w:p>
    <w:p w14:paraId="01E6D474" w14:textId="77777777" w:rsidR="00C478EA" w:rsidRDefault="00C478EA" w:rsidP="00D570C5">
      <w:pPr>
        <w:jc w:val="both"/>
        <w:rPr>
          <w:sz w:val="22"/>
          <w:szCs w:val="22"/>
        </w:rPr>
      </w:pPr>
    </w:p>
    <w:p w14:paraId="6961E4F8" w14:textId="4E27EAD3" w:rsidR="00C478EA" w:rsidRPr="00185B5A" w:rsidRDefault="00C478EA" w:rsidP="00D570C5">
      <w:pPr>
        <w:jc w:val="both"/>
      </w:pPr>
      <w:r w:rsidRPr="00185B5A">
        <w:t xml:space="preserve">Consistent with UN Security Council Resolutions relating to terrorism, including UN Security Council Resolution 1373 (2001) and 1267 (1999) and related resolutions, the Participants are firmly committed to the international fight against terrorism, </w:t>
      </w:r>
      <w:proofErr w:type="gramStart"/>
      <w:r w:rsidRPr="00185B5A">
        <w:t>and in particular, against</w:t>
      </w:r>
      <w:proofErr w:type="gramEnd"/>
      <w:r w:rsidRPr="00185B5A">
        <w:t xml:space="preserve">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of it inform the head of PBSO, the Administrative Agent and the donor(s) and, in consultation with the donors as appropriate, determine an appropriate response.</w:t>
      </w:r>
    </w:p>
    <w:p w14:paraId="6B99FEE5" w14:textId="77777777" w:rsidR="00C478EA" w:rsidRPr="006629A5" w:rsidRDefault="00C478EA" w:rsidP="00D570C5">
      <w:pPr>
        <w:rPr>
          <w:b/>
        </w:rPr>
      </w:pPr>
    </w:p>
    <w:p w14:paraId="7CB93CE4" w14:textId="77777777" w:rsidR="00C478EA" w:rsidRDefault="00C478EA" w:rsidP="00D570C5">
      <w:pPr>
        <w:jc w:val="both"/>
        <w:rPr>
          <w:sz w:val="22"/>
          <w:szCs w:val="22"/>
        </w:rPr>
      </w:pPr>
    </w:p>
    <w:p w14:paraId="2420F4BF" w14:textId="577D3066" w:rsidR="00973AE1" w:rsidRDefault="00973AE1" w:rsidP="00D570C5">
      <w:pPr>
        <w:rPr>
          <w:b/>
          <w:bCs/>
        </w:rPr>
      </w:pPr>
      <w:r>
        <w:rPr>
          <w:b/>
          <w:bCs/>
        </w:rPr>
        <w:t>Non-UN recipient organization (NUNO)</w:t>
      </w:r>
      <w:r w:rsidRPr="004D5B3D">
        <w:rPr>
          <w:b/>
          <w:bCs/>
        </w:rPr>
        <w:t xml:space="preserve"> </w:t>
      </w:r>
      <w:r>
        <w:rPr>
          <w:b/>
          <w:bCs/>
        </w:rPr>
        <w:t>eligibility:</w:t>
      </w:r>
    </w:p>
    <w:p w14:paraId="297A9A7F" w14:textId="77777777" w:rsidR="00973AE1" w:rsidRPr="004D5B3D" w:rsidRDefault="00973AE1" w:rsidP="00D570C5">
      <w:pPr>
        <w:rPr>
          <w:b/>
          <w:bCs/>
        </w:rPr>
      </w:pPr>
    </w:p>
    <w:p w14:paraId="71D66AE5" w14:textId="17C1433E" w:rsidR="00973AE1" w:rsidRPr="00D00E82" w:rsidRDefault="00973AE1" w:rsidP="00D570C5">
      <w:pPr>
        <w:jc w:val="both"/>
      </w:pPr>
      <w:r w:rsidRPr="00D00E82">
        <w:t xml:space="preserve">In order to be declared eligible to receive PBF funds </w:t>
      </w:r>
      <w:r>
        <w:t>directly</w:t>
      </w:r>
      <w:r w:rsidRPr="00D00E82">
        <w:t xml:space="preserve">, </w:t>
      </w:r>
      <w:r>
        <w:t>NUNOs</w:t>
      </w:r>
      <w:r w:rsidRPr="00D00E82">
        <w:t xml:space="preserve"> must be assessed as technically, financially and legally sound by the PBF and its agent, the </w:t>
      </w:r>
      <w:hyperlink r:id="rId17" w:history="1">
        <w:r w:rsidRPr="00185B5A">
          <w:t>Multi Partner Trust Fund Office (MPTFO)</w:t>
        </w:r>
      </w:hyperlink>
      <w:r>
        <w:t>. Prior to submitting a finalized project document, it is the responsibility of each NUNO to liaise with PBSO and MPTFO and provide all the necessary documents (see below) to demonstrate that all the criteria have been fulfilled and to be declared as eligible for direct PBF funds.</w:t>
      </w:r>
    </w:p>
    <w:p w14:paraId="49CFB8B8" w14:textId="77777777" w:rsidR="00973AE1" w:rsidRPr="00D00E82" w:rsidRDefault="00973AE1" w:rsidP="00D570C5">
      <w:pPr>
        <w:jc w:val="both"/>
      </w:pPr>
    </w:p>
    <w:p w14:paraId="40EE497A" w14:textId="39E8E9D2" w:rsidR="00973AE1" w:rsidRPr="00185B5A" w:rsidRDefault="00973AE1" w:rsidP="00D570C5">
      <w:pPr>
        <w:spacing w:after="120"/>
        <w:jc w:val="both"/>
        <w:rPr>
          <w:rFonts w:asciiTheme="majorBidi" w:hAnsiTheme="majorBidi" w:cstheme="majorBidi"/>
          <w:u w:val="single"/>
        </w:rPr>
      </w:pPr>
      <w:r w:rsidRPr="00185B5A">
        <w:rPr>
          <w:rFonts w:asciiTheme="majorBidi" w:hAnsiTheme="majorBidi" w:cstheme="majorBidi"/>
          <w:u w:val="single"/>
        </w:rPr>
        <w:t>The NUNO must provide (in a timely fashion, ensuring PBSO and MPTFO have sufficient time to review the package) the documentation demonstrating that the NUNO:</w:t>
      </w:r>
    </w:p>
    <w:p w14:paraId="1085B6F9" w14:textId="29069C74" w:rsidR="00973AE1" w:rsidRPr="00185B5A" w:rsidRDefault="00973AE1" w:rsidP="00EF1B08">
      <w:pPr>
        <w:pStyle w:val="ListParagraph"/>
        <w:numPr>
          <w:ilvl w:val="0"/>
          <w:numId w:val="9"/>
        </w:numPr>
        <w:spacing w:after="120"/>
        <w:ind w:left="714" w:hanging="357"/>
        <w:jc w:val="both"/>
        <w:rPr>
          <w:rFonts w:asciiTheme="majorBidi" w:hAnsiTheme="majorBidi" w:cstheme="majorBidi"/>
          <w:sz w:val="24"/>
          <w:szCs w:val="24"/>
        </w:rPr>
      </w:pPr>
      <w:r w:rsidRPr="00185B5A">
        <w:rPr>
          <w:rFonts w:asciiTheme="majorBidi" w:hAnsiTheme="majorBidi" w:cstheme="majorBidi"/>
          <w:sz w:val="24"/>
          <w:szCs w:val="24"/>
        </w:rPr>
        <w:t>Has previously received funding from the UN, the PBF, or any of the contributors to the PBF, in the country of project implementation</w:t>
      </w:r>
    </w:p>
    <w:p w14:paraId="74C92647" w14:textId="077B6719" w:rsidR="00973AE1" w:rsidRPr="00185B5A" w:rsidRDefault="00973AE1" w:rsidP="00EF1B08">
      <w:pPr>
        <w:pStyle w:val="ListParagraph"/>
        <w:numPr>
          <w:ilvl w:val="0"/>
          <w:numId w:val="9"/>
        </w:numPr>
        <w:spacing w:after="120"/>
        <w:ind w:left="714" w:hanging="357"/>
        <w:jc w:val="both"/>
        <w:rPr>
          <w:rFonts w:asciiTheme="majorBidi" w:hAnsiTheme="majorBidi" w:cstheme="majorBidi"/>
          <w:sz w:val="24"/>
          <w:szCs w:val="24"/>
        </w:rPr>
      </w:pPr>
      <w:r w:rsidRPr="00185B5A">
        <w:rPr>
          <w:rFonts w:asciiTheme="majorBidi" w:hAnsiTheme="majorBidi" w:cstheme="majorBidi"/>
          <w:sz w:val="24"/>
          <w:szCs w:val="24"/>
        </w:rPr>
        <w:t>Has a current valid registration as a non-profit, tax exempt organization with a social based mission in both the country where headquarter is located and in country of project implementation for the duration of the proposed grant. (</w:t>
      </w:r>
      <w:r w:rsidRPr="00185B5A">
        <w:rPr>
          <w:rFonts w:asciiTheme="majorBidi" w:hAnsiTheme="majorBidi" w:cstheme="majorBidi"/>
          <w:b/>
          <w:bCs/>
          <w:sz w:val="24"/>
          <w:szCs w:val="24"/>
        </w:rPr>
        <w:t>NOTE</w:t>
      </w:r>
      <w:r w:rsidRPr="00185B5A">
        <w:rPr>
          <w:rFonts w:asciiTheme="majorBidi" w:hAnsiTheme="majorBidi" w:cstheme="majorBidi"/>
          <w:sz w:val="24"/>
          <w:szCs w:val="24"/>
        </w:rPr>
        <w:t xml:space="preserve">: If registration is done on an annual basis in the country, the organization must have the current registration and obtain renewals for the duration of the project, </w:t>
      </w:r>
      <w:proofErr w:type="gramStart"/>
      <w:r w:rsidRPr="00185B5A">
        <w:rPr>
          <w:rFonts w:asciiTheme="majorBidi" w:hAnsiTheme="majorBidi" w:cstheme="majorBidi"/>
          <w:sz w:val="24"/>
          <w:szCs w:val="24"/>
        </w:rPr>
        <w:t>in order to</w:t>
      </w:r>
      <w:proofErr w:type="gramEnd"/>
      <w:r w:rsidRPr="00185B5A">
        <w:rPr>
          <w:rFonts w:asciiTheme="majorBidi" w:hAnsiTheme="majorBidi" w:cstheme="majorBidi"/>
          <w:sz w:val="24"/>
          <w:szCs w:val="24"/>
        </w:rPr>
        <w:t xml:space="preserve"> receive subsequent funding tranches)</w:t>
      </w:r>
    </w:p>
    <w:p w14:paraId="63CE57FE" w14:textId="52735420" w:rsidR="00973AE1" w:rsidRPr="00185B5A" w:rsidRDefault="00973AE1" w:rsidP="00EF1B08">
      <w:pPr>
        <w:pStyle w:val="ListParagraph"/>
        <w:numPr>
          <w:ilvl w:val="0"/>
          <w:numId w:val="9"/>
        </w:numPr>
        <w:spacing w:after="120"/>
        <w:ind w:left="714" w:hanging="357"/>
        <w:jc w:val="both"/>
        <w:rPr>
          <w:rFonts w:asciiTheme="majorBidi" w:hAnsiTheme="majorBidi" w:cstheme="majorBidi"/>
          <w:sz w:val="24"/>
          <w:szCs w:val="24"/>
        </w:rPr>
      </w:pPr>
      <w:r w:rsidRPr="00185B5A">
        <w:rPr>
          <w:rFonts w:asciiTheme="majorBidi" w:hAnsiTheme="majorBidi" w:cstheme="majorBidi"/>
          <w:sz w:val="24"/>
          <w:szCs w:val="24"/>
        </w:rPr>
        <w:t>Produces an annual report that includes the proposed country for the grant</w:t>
      </w:r>
    </w:p>
    <w:p w14:paraId="7E12A22E" w14:textId="37C8DE55" w:rsidR="00973AE1" w:rsidRPr="00185B5A" w:rsidRDefault="00973AE1" w:rsidP="00EF1B08">
      <w:pPr>
        <w:pStyle w:val="ListParagraph"/>
        <w:numPr>
          <w:ilvl w:val="0"/>
          <w:numId w:val="9"/>
        </w:numPr>
        <w:spacing w:after="120"/>
        <w:ind w:left="714" w:hanging="357"/>
        <w:jc w:val="both"/>
        <w:rPr>
          <w:rFonts w:asciiTheme="majorBidi" w:hAnsiTheme="majorBidi" w:cstheme="majorBidi"/>
          <w:sz w:val="24"/>
          <w:szCs w:val="24"/>
        </w:rPr>
      </w:pPr>
      <w:r w:rsidRPr="00185B5A">
        <w:rPr>
          <w:rFonts w:asciiTheme="majorBidi" w:hAnsiTheme="majorBidi" w:cstheme="majorBidi"/>
          <w:sz w:val="24"/>
          <w:szCs w:val="24"/>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sidRPr="00185B5A">
        <w:rPr>
          <w:rFonts w:asciiTheme="majorBidi" w:hAnsiTheme="majorBidi" w:cstheme="majorBidi"/>
          <w:b/>
          <w:bCs/>
          <w:sz w:val="24"/>
          <w:szCs w:val="24"/>
        </w:rPr>
        <w:t>NOTE</w:t>
      </w:r>
      <w:r w:rsidRPr="00185B5A">
        <w:rPr>
          <w:rFonts w:asciiTheme="majorBidi" w:hAnsiTheme="majorBidi" w:cstheme="majorBidi"/>
          <w:sz w:val="24"/>
          <w:szCs w:val="24"/>
        </w:rPr>
        <w:t xml:space="preserve">: If these are not available for the country of proposed project implementation, the CSO will also need to provide the latest two audit reports for a program or </w:t>
      </w:r>
      <w:proofErr w:type="gramStart"/>
      <w:r w:rsidRPr="00185B5A">
        <w:rPr>
          <w:rFonts w:asciiTheme="majorBidi" w:hAnsiTheme="majorBidi" w:cstheme="majorBidi"/>
          <w:sz w:val="24"/>
          <w:szCs w:val="24"/>
        </w:rPr>
        <w:t>project based</w:t>
      </w:r>
      <w:proofErr w:type="gramEnd"/>
      <w:r w:rsidRPr="00185B5A">
        <w:rPr>
          <w:rFonts w:asciiTheme="majorBidi" w:hAnsiTheme="majorBidi" w:cstheme="majorBidi"/>
          <w:sz w:val="24"/>
          <w:szCs w:val="24"/>
        </w:rPr>
        <w:t xml:space="preserve"> audit in country.) The letter from the auditor should also state whether the auditor firm is </w:t>
      </w:r>
      <w:r w:rsidRPr="00185B5A">
        <w:rPr>
          <w:rFonts w:asciiTheme="majorBidi" w:hAnsiTheme="majorBidi" w:cstheme="majorBidi"/>
          <w:color w:val="000000"/>
          <w:sz w:val="24"/>
          <w:szCs w:val="24"/>
        </w:rPr>
        <w:t>part of the nationally qualified audit firms.</w:t>
      </w:r>
    </w:p>
    <w:p w14:paraId="2BE4C908" w14:textId="13E84BA3" w:rsidR="00973AE1" w:rsidRPr="00185B5A" w:rsidRDefault="00973AE1" w:rsidP="00EF1B08">
      <w:pPr>
        <w:pStyle w:val="ListParagraph"/>
        <w:numPr>
          <w:ilvl w:val="0"/>
          <w:numId w:val="9"/>
        </w:numPr>
        <w:spacing w:after="120"/>
        <w:ind w:left="714" w:hanging="357"/>
        <w:jc w:val="both"/>
        <w:rPr>
          <w:rFonts w:asciiTheme="majorBidi" w:hAnsiTheme="majorBidi" w:cstheme="majorBidi"/>
          <w:sz w:val="24"/>
          <w:szCs w:val="24"/>
        </w:rPr>
      </w:pPr>
      <w:r w:rsidRPr="00185B5A">
        <w:rPr>
          <w:rFonts w:asciiTheme="majorBidi" w:hAnsiTheme="majorBidi" w:cstheme="majorBidi"/>
          <w:sz w:val="24"/>
          <w:szCs w:val="24"/>
        </w:rPr>
        <w:t>Demonstrates an annual budget in the country of proposed project implementation for the previous two calendar years, which is at least twice the annualized budget sought from PBF for the project</w:t>
      </w:r>
      <w:r w:rsidRPr="00185B5A">
        <w:rPr>
          <w:rStyle w:val="FootnoteReference"/>
          <w:rFonts w:asciiTheme="majorBidi" w:hAnsiTheme="majorBidi" w:cstheme="majorBidi"/>
          <w:sz w:val="24"/>
          <w:szCs w:val="24"/>
        </w:rPr>
        <w:footnoteReference w:id="20"/>
      </w:r>
      <w:r w:rsidRPr="00185B5A">
        <w:rPr>
          <w:rFonts w:asciiTheme="majorBidi" w:hAnsiTheme="majorBidi" w:cstheme="majorBidi"/>
          <w:sz w:val="24"/>
          <w:szCs w:val="24"/>
        </w:rPr>
        <w:t xml:space="preserve"> </w:t>
      </w:r>
    </w:p>
    <w:p w14:paraId="0300F760" w14:textId="3BD006D8" w:rsidR="00973AE1" w:rsidRPr="00185B5A" w:rsidRDefault="00973AE1" w:rsidP="00EF1B08">
      <w:pPr>
        <w:pStyle w:val="ListParagraph"/>
        <w:numPr>
          <w:ilvl w:val="0"/>
          <w:numId w:val="9"/>
        </w:numPr>
        <w:ind w:left="714" w:hanging="357"/>
        <w:jc w:val="both"/>
        <w:rPr>
          <w:rFonts w:asciiTheme="majorBidi" w:hAnsiTheme="majorBidi" w:cstheme="majorBidi"/>
          <w:sz w:val="24"/>
          <w:szCs w:val="24"/>
        </w:rPr>
      </w:pPr>
      <w:r w:rsidRPr="00185B5A">
        <w:rPr>
          <w:rFonts w:asciiTheme="majorBidi" w:hAnsiTheme="majorBidi" w:cstheme="majorBidi"/>
          <w:sz w:val="24"/>
          <w:szCs w:val="24"/>
        </w:rPr>
        <w:t>Demonstrates at least 3 years of experience in the country where grant is sought</w:t>
      </w:r>
    </w:p>
    <w:p w14:paraId="571ECB95" w14:textId="6A0F5D7B" w:rsidR="00973AE1" w:rsidRPr="00185B5A" w:rsidRDefault="00973AE1" w:rsidP="00EF1B08">
      <w:pPr>
        <w:pStyle w:val="ListParagraph"/>
        <w:numPr>
          <w:ilvl w:val="0"/>
          <w:numId w:val="9"/>
        </w:numPr>
        <w:ind w:left="714" w:hanging="357"/>
        <w:jc w:val="both"/>
        <w:rPr>
          <w:rFonts w:asciiTheme="majorBidi" w:hAnsiTheme="majorBidi" w:cstheme="majorBidi"/>
          <w:sz w:val="24"/>
          <w:szCs w:val="24"/>
        </w:rPr>
      </w:pPr>
      <w:r w:rsidRPr="00185B5A">
        <w:rPr>
          <w:rFonts w:asciiTheme="majorBidi" w:hAnsiTheme="majorBidi" w:cstheme="majorBidi"/>
          <w:sz w:val="24"/>
          <w:szCs w:val="24"/>
        </w:rPr>
        <w:t>Provides a clear explanation of the CSO’s legal structure, including the specific entity which will enter into the legal agreement with the MPTF-O for the PBF grant.</w:t>
      </w:r>
    </w:p>
    <w:p w14:paraId="2FC431A2" w14:textId="537C3C3E" w:rsidR="002E482A" w:rsidRPr="00185B5A" w:rsidRDefault="002E482A" w:rsidP="00D570C5">
      <w:pPr>
        <w:rPr>
          <w:rFonts w:asciiTheme="majorBidi" w:hAnsiTheme="majorBidi" w:cstheme="majorBidi"/>
          <w:b/>
          <w:bCs/>
        </w:rPr>
      </w:pPr>
    </w:p>
    <w:bookmarkEnd w:id="5"/>
    <w:p w14:paraId="51A9718C" w14:textId="77777777" w:rsidR="002E482A" w:rsidRDefault="002E482A" w:rsidP="00D570C5"/>
    <w:p w14:paraId="5C840241" w14:textId="4469C868" w:rsidR="00752F64" w:rsidRDefault="00752F64" w:rsidP="00D570C5">
      <w:pPr>
        <w:rPr>
          <w:i/>
        </w:rPr>
      </w:pPr>
    </w:p>
    <w:p w14:paraId="293A22DC" w14:textId="77777777" w:rsidR="00CD2D34" w:rsidRDefault="00CD2D34" w:rsidP="00D570C5">
      <w:pPr>
        <w:rPr>
          <w:i/>
        </w:rPr>
        <w:sectPr w:rsidR="00CD2D34" w:rsidSect="00DA2217">
          <w:pgSz w:w="11906" w:h="16838"/>
          <w:pgMar w:top="1440" w:right="1106" w:bottom="1440" w:left="1800" w:header="720" w:footer="720" w:gutter="0"/>
          <w:pgBorders w:offsetFrom="page">
            <w:left w:val="single" w:sz="4" w:space="24" w:color="FFFFFF"/>
          </w:pgBorders>
          <w:cols w:space="720"/>
          <w:docGrid w:linePitch="360"/>
        </w:sectPr>
      </w:pPr>
    </w:p>
    <w:p w14:paraId="4F576E13" w14:textId="03E36EC5" w:rsidR="007F1745" w:rsidRPr="00752F64" w:rsidRDefault="00AC5693" w:rsidP="00D570C5">
      <w:pPr>
        <w:rPr>
          <w:b/>
        </w:rPr>
      </w:pPr>
      <w:r>
        <w:rPr>
          <w:b/>
        </w:rPr>
        <w:lastRenderedPageBreak/>
        <w:t xml:space="preserve"> </w:t>
      </w:r>
      <w:bookmarkStart w:id="7" w:name="_Hlk529177340"/>
      <w:r w:rsidR="001713A7">
        <w:rPr>
          <w:b/>
        </w:rPr>
        <w:t xml:space="preserve">Annex B: </w:t>
      </w:r>
      <w:r w:rsidR="00AF493D">
        <w:rPr>
          <w:b/>
        </w:rPr>
        <w:t>Project</w:t>
      </w:r>
      <w:r w:rsidR="003D13C1">
        <w:rPr>
          <w:b/>
        </w:rPr>
        <w:t xml:space="preserve"> Results Framework</w:t>
      </w:r>
      <w:r w:rsidR="00AE2564">
        <w:rPr>
          <w:b/>
        </w:rPr>
        <w:t xml:space="preserve"> </w:t>
      </w:r>
      <w:bookmarkStart w:id="8" w:name="_Hlk503949576"/>
      <w:r w:rsidR="00AE2564">
        <w:rPr>
          <w:b/>
        </w:rPr>
        <w:t xml:space="preserve">(MUST include sex- and age disaggregated data) </w:t>
      </w:r>
      <w:bookmarkEnd w:id="8"/>
    </w:p>
    <w:tbl>
      <w:tblPr>
        <w:tblpPr w:leftFromText="180" w:rightFromText="180" w:vertAnchor="page" w:horzAnchor="margin" w:tblpY="2161"/>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3263"/>
        <w:gridCol w:w="3780"/>
        <w:gridCol w:w="1800"/>
        <w:gridCol w:w="2857"/>
      </w:tblGrid>
      <w:tr w:rsidR="00AF493D" w:rsidRPr="00F71698" w14:paraId="47C2F793" w14:textId="77777777" w:rsidTr="0060118A">
        <w:tc>
          <w:tcPr>
            <w:tcW w:w="2425" w:type="dxa"/>
            <w:shd w:val="clear" w:color="auto" w:fill="4C4C4C"/>
          </w:tcPr>
          <w:p w14:paraId="6826AF68" w14:textId="77777777" w:rsidR="00AF493D" w:rsidRPr="00F71698" w:rsidRDefault="00AF493D" w:rsidP="00D570C5">
            <w:pPr>
              <w:rPr>
                <w:rFonts w:ascii="Arial" w:hAnsi="Arial" w:cs="Arial"/>
                <w:b/>
                <w:color w:val="FFFFFF"/>
                <w:sz w:val="16"/>
                <w:szCs w:val="16"/>
              </w:rPr>
            </w:pPr>
            <w:r w:rsidRPr="00F71698">
              <w:rPr>
                <w:rFonts w:ascii="Arial" w:hAnsi="Arial" w:cs="Arial"/>
                <w:b/>
                <w:color w:val="FFFFFF"/>
                <w:sz w:val="16"/>
                <w:szCs w:val="16"/>
              </w:rPr>
              <w:t>Outcomes</w:t>
            </w:r>
          </w:p>
        </w:tc>
        <w:tc>
          <w:tcPr>
            <w:tcW w:w="3263" w:type="dxa"/>
            <w:tcBorders>
              <w:bottom w:val="nil"/>
            </w:tcBorders>
            <w:shd w:val="clear" w:color="auto" w:fill="4C4C4C"/>
          </w:tcPr>
          <w:p w14:paraId="2F242730" w14:textId="77777777" w:rsidR="00AF493D" w:rsidRPr="00F71698" w:rsidRDefault="00AF493D" w:rsidP="00D570C5">
            <w:pPr>
              <w:rPr>
                <w:rFonts w:ascii="Arial" w:hAnsi="Arial" w:cs="Arial"/>
                <w:b/>
                <w:color w:val="FFFFFF"/>
                <w:sz w:val="16"/>
                <w:szCs w:val="16"/>
              </w:rPr>
            </w:pPr>
            <w:r w:rsidRPr="00F71698">
              <w:rPr>
                <w:rFonts w:ascii="Arial" w:hAnsi="Arial" w:cs="Arial"/>
                <w:b/>
                <w:color w:val="FFFFFF"/>
                <w:sz w:val="16"/>
                <w:szCs w:val="16"/>
              </w:rPr>
              <w:t>Outputs</w:t>
            </w:r>
          </w:p>
        </w:tc>
        <w:tc>
          <w:tcPr>
            <w:tcW w:w="3780" w:type="dxa"/>
            <w:tcBorders>
              <w:bottom w:val="single" w:sz="4" w:space="0" w:color="auto"/>
            </w:tcBorders>
            <w:shd w:val="clear" w:color="auto" w:fill="4C4C4C"/>
          </w:tcPr>
          <w:p w14:paraId="19002053" w14:textId="77777777" w:rsidR="00AF493D" w:rsidRPr="00F71698" w:rsidRDefault="00AF493D" w:rsidP="00D570C5">
            <w:pPr>
              <w:rPr>
                <w:rFonts w:ascii="Arial" w:hAnsi="Arial" w:cs="Arial"/>
                <w:b/>
                <w:color w:val="FFFFFF"/>
                <w:sz w:val="16"/>
                <w:szCs w:val="16"/>
              </w:rPr>
            </w:pPr>
            <w:r w:rsidRPr="00F71698">
              <w:rPr>
                <w:rFonts w:ascii="Arial" w:hAnsi="Arial" w:cs="Arial"/>
                <w:b/>
                <w:color w:val="FFFFFF"/>
                <w:sz w:val="16"/>
                <w:szCs w:val="16"/>
              </w:rPr>
              <w:t>Indicators</w:t>
            </w:r>
          </w:p>
        </w:tc>
        <w:tc>
          <w:tcPr>
            <w:tcW w:w="1800" w:type="dxa"/>
            <w:tcBorders>
              <w:bottom w:val="single" w:sz="4" w:space="0" w:color="auto"/>
            </w:tcBorders>
            <w:shd w:val="clear" w:color="auto" w:fill="4C4C4C"/>
          </w:tcPr>
          <w:p w14:paraId="34E4D95C" w14:textId="77777777" w:rsidR="00AF493D" w:rsidRPr="00F71698" w:rsidRDefault="00AF493D" w:rsidP="00D570C5">
            <w:pPr>
              <w:jc w:val="center"/>
              <w:rPr>
                <w:rFonts w:ascii="Arial" w:hAnsi="Arial" w:cs="Arial"/>
                <w:b/>
                <w:color w:val="FFFFFF"/>
                <w:sz w:val="16"/>
                <w:szCs w:val="16"/>
              </w:rPr>
            </w:pPr>
            <w:r w:rsidRPr="00F71698">
              <w:rPr>
                <w:rFonts w:ascii="Arial" w:hAnsi="Arial" w:cs="Arial"/>
                <w:b/>
                <w:color w:val="FFFFFF"/>
                <w:sz w:val="16"/>
                <w:szCs w:val="16"/>
              </w:rPr>
              <w:t>Means of Verification</w:t>
            </w:r>
            <w:r>
              <w:rPr>
                <w:rFonts w:ascii="Arial" w:hAnsi="Arial" w:cs="Arial"/>
                <w:b/>
                <w:color w:val="FFFFFF"/>
                <w:sz w:val="16"/>
                <w:szCs w:val="16"/>
              </w:rPr>
              <w:t>/ frequency of collection</w:t>
            </w:r>
          </w:p>
        </w:tc>
        <w:tc>
          <w:tcPr>
            <w:tcW w:w="2857" w:type="dxa"/>
            <w:tcBorders>
              <w:bottom w:val="single" w:sz="4" w:space="0" w:color="auto"/>
            </w:tcBorders>
            <w:shd w:val="clear" w:color="auto" w:fill="4C4C4C"/>
          </w:tcPr>
          <w:p w14:paraId="4A7363A8" w14:textId="2E64366F" w:rsidR="00AF493D" w:rsidRPr="00F71698" w:rsidRDefault="001F4194" w:rsidP="00D570C5">
            <w:pPr>
              <w:rPr>
                <w:rFonts w:ascii="Arial" w:hAnsi="Arial" w:cs="Arial"/>
                <w:b/>
                <w:color w:val="FFFFFF"/>
                <w:sz w:val="16"/>
                <w:szCs w:val="16"/>
              </w:rPr>
            </w:pPr>
            <w:r>
              <w:rPr>
                <w:rFonts w:ascii="Arial" w:hAnsi="Arial" w:cs="Arial"/>
                <w:b/>
                <w:color w:val="FFFFFF"/>
                <w:sz w:val="16"/>
                <w:szCs w:val="16"/>
              </w:rPr>
              <w:t>I</w:t>
            </w:r>
            <w:r w:rsidR="00BB46DC">
              <w:rPr>
                <w:rFonts w:ascii="Arial" w:hAnsi="Arial" w:cs="Arial"/>
                <w:b/>
                <w:color w:val="FFFFFF"/>
                <w:sz w:val="16"/>
                <w:szCs w:val="16"/>
              </w:rPr>
              <w:t xml:space="preserve">ndicator </w:t>
            </w:r>
            <w:r w:rsidR="00AF493D">
              <w:rPr>
                <w:rFonts w:ascii="Arial" w:hAnsi="Arial" w:cs="Arial"/>
                <w:b/>
                <w:color w:val="FFFFFF"/>
                <w:sz w:val="16"/>
                <w:szCs w:val="16"/>
              </w:rPr>
              <w:t>milestones</w:t>
            </w:r>
          </w:p>
        </w:tc>
      </w:tr>
      <w:tr w:rsidR="00AF493D" w:rsidRPr="00F71698" w14:paraId="7C43DCD1" w14:textId="77777777" w:rsidTr="0060118A">
        <w:tc>
          <w:tcPr>
            <w:tcW w:w="2425" w:type="dxa"/>
            <w:vMerge w:val="restart"/>
            <w:tcBorders>
              <w:right w:val="nil"/>
            </w:tcBorders>
            <w:shd w:val="clear" w:color="auto" w:fill="FFFF99"/>
          </w:tcPr>
          <w:p w14:paraId="1DA0B08D" w14:textId="77777777" w:rsidR="00AF493D" w:rsidRPr="00F71698" w:rsidRDefault="00AF493D" w:rsidP="00D570C5">
            <w:pPr>
              <w:rPr>
                <w:rFonts w:ascii="Arial" w:hAnsi="Arial" w:cs="Arial"/>
                <w:sz w:val="16"/>
                <w:szCs w:val="16"/>
              </w:rPr>
            </w:pPr>
            <w:r w:rsidRPr="00F71698">
              <w:rPr>
                <w:rFonts w:ascii="Arial" w:hAnsi="Arial" w:cs="Arial"/>
                <w:sz w:val="16"/>
                <w:szCs w:val="16"/>
              </w:rPr>
              <w:t>Outcome 1:</w:t>
            </w:r>
          </w:p>
          <w:p w14:paraId="38A1C526" w14:textId="0325E844" w:rsidR="00416E90" w:rsidRPr="00416E90" w:rsidRDefault="00416E90" w:rsidP="00D570C5">
            <w:pPr>
              <w:rPr>
                <w:rFonts w:ascii="Arial" w:hAnsi="Arial" w:cs="Arial"/>
                <w:b/>
                <w:sz w:val="16"/>
                <w:szCs w:val="16"/>
              </w:rPr>
            </w:pPr>
            <w:r w:rsidRPr="00416E90">
              <w:rPr>
                <w:rFonts w:ascii="Arial" w:hAnsi="Arial" w:cs="Arial"/>
                <w:b/>
                <w:sz w:val="16"/>
                <w:szCs w:val="16"/>
              </w:rPr>
              <w:t>The influence of conflict narratives and prejudice has decreased through improved social cohesion resulting from local populations working together and with local institutions on contemporary issues of shared interest to jointly develop solutions for a common future.</w:t>
            </w:r>
          </w:p>
        </w:tc>
        <w:tc>
          <w:tcPr>
            <w:tcW w:w="3263" w:type="dxa"/>
            <w:vMerge w:val="restart"/>
            <w:tcBorders>
              <w:top w:val="nil"/>
              <w:left w:val="nil"/>
              <w:bottom w:val="single" w:sz="4" w:space="0" w:color="auto"/>
              <w:right w:val="single" w:sz="4" w:space="0" w:color="auto"/>
            </w:tcBorders>
            <w:shd w:val="clear" w:color="auto" w:fill="000000" w:themeFill="text1"/>
          </w:tcPr>
          <w:p w14:paraId="311517ED" w14:textId="77777777" w:rsidR="00AF493D" w:rsidRPr="00F71698" w:rsidRDefault="00AF493D" w:rsidP="00D570C5">
            <w:pPr>
              <w:rPr>
                <w:rFonts w:ascii="Arial" w:hAnsi="Arial" w:cs="Arial"/>
                <w:sz w:val="16"/>
                <w:szCs w:val="16"/>
              </w:rPr>
            </w:pPr>
          </w:p>
        </w:tc>
        <w:tc>
          <w:tcPr>
            <w:tcW w:w="3780" w:type="dxa"/>
            <w:tcBorders>
              <w:left w:val="single" w:sz="4" w:space="0" w:color="auto"/>
            </w:tcBorders>
            <w:shd w:val="clear" w:color="auto" w:fill="FFFF99"/>
          </w:tcPr>
          <w:p w14:paraId="11439FC4" w14:textId="77777777" w:rsidR="00AF493D" w:rsidRPr="00F71698" w:rsidRDefault="00AF493D" w:rsidP="00D570C5">
            <w:pPr>
              <w:rPr>
                <w:rFonts w:ascii="Arial" w:hAnsi="Arial" w:cs="Arial"/>
                <w:sz w:val="16"/>
                <w:szCs w:val="16"/>
              </w:rPr>
            </w:pPr>
            <w:r w:rsidRPr="00F71698">
              <w:rPr>
                <w:rFonts w:ascii="Arial" w:hAnsi="Arial" w:cs="Arial"/>
                <w:sz w:val="16"/>
                <w:szCs w:val="16"/>
              </w:rPr>
              <w:t>Outcome Indicator 1 a</w:t>
            </w:r>
          </w:p>
          <w:p w14:paraId="6A54CC50" w14:textId="761F659C" w:rsidR="00AF493D" w:rsidRPr="00F71698" w:rsidRDefault="003A7856" w:rsidP="00D570C5">
            <w:pPr>
              <w:rPr>
                <w:rFonts w:ascii="Arial" w:hAnsi="Arial" w:cs="Arial"/>
                <w:sz w:val="16"/>
                <w:szCs w:val="16"/>
              </w:rPr>
            </w:pPr>
            <w:r>
              <w:rPr>
                <w:rFonts w:ascii="Arial" w:hAnsi="Arial" w:cs="Arial"/>
                <w:sz w:val="16"/>
                <w:szCs w:val="16"/>
              </w:rPr>
              <w:t>Opinion</w:t>
            </w:r>
            <w:r w:rsidR="007C7DF7">
              <w:rPr>
                <w:rFonts w:ascii="Arial" w:hAnsi="Arial" w:cs="Arial"/>
                <w:sz w:val="16"/>
                <w:szCs w:val="16"/>
              </w:rPr>
              <w:t>s</w:t>
            </w:r>
            <w:r w:rsidR="00910C3B">
              <w:rPr>
                <w:rFonts w:ascii="Arial" w:hAnsi="Arial" w:cs="Arial"/>
                <w:sz w:val="16"/>
                <w:szCs w:val="16"/>
              </w:rPr>
              <w:t xml:space="preserve"> of youth</w:t>
            </w:r>
            <w:r>
              <w:rPr>
                <w:rFonts w:ascii="Arial" w:hAnsi="Arial" w:cs="Arial"/>
                <w:sz w:val="16"/>
                <w:szCs w:val="16"/>
              </w:rPr>
              <w:t xml:space="preserve"> regarding </w:t>
            </w:r>
            <w:r w:rsidR="007C7DF7">
              <w:rPr>
                <w:rFonts w:ascii="Arial" w:hAnsi="Arial" w:cs="Arial"/>
                <w:sz w:val="16"/>
                <w:szCs w:val="16"/>
              </w:rPr>
              <w:t xml:space="preserve">the state of </w:t>
            </w:r>
            <w:r>
              <w:rPr>
                <w:rFonts w:ascii="Arial" w:hAnsi="Arial" w:cs="Arial"/>
                <w:sz w:val="16"/>
                <w:szCs w:val="16"/>
              </w:rPr>
              <w:t>interethnic relations between communities in Kosovo</w:t>
            </w:r>
            <w:r w:rsidR="004B6360">
              <w:rPr>
                <w:rFonts w:ascii="Arial" w:hAnsi="Arial" w:cs="Arial"/>
                <w:sz w:val="16"/>
                <w:szCs w:val="16"/>
              </w:rPr>
              <w:t xml:space="preserve"> </w:t>
            </w:r>
          </w:p>
          <w:p w14:paraId="62401AFD" w14:textId="77777777" w:rsidR="003A7856" w:rsidRDefault="003A7856" w:rsidP="00D570C5">
            <w:pPr>
              <w:rPr>
                <w:rFonts w:ascii="Arial" w:hAnsi="Arial" w:cs="Arial"/>
                <w:sz w:val="16"/>
                <w:szCs w:val="16"/>
              </w:rPr>
            </w:pPr>
          </w:p>
          <w:p w14:paraId="522EF60C" w14:textId="34D85417" w:rsidR="00AF493D" w:rsidRPr="00F71698" w:rsidRDefault="00AF493D" w:rsidP="00D570C5">
            <w:pPr>
              <w:rPr>
                <w:rFonts w:ascii="Arial" w:hAnsi="Arial" w:cs="Arial"/>
                <w:sz w:val="16"/>
                <w:szCs w:val="16"/>
              </w:rPr>
            </w:pPr>
            <w:r w:rsidRPr="00F71698">
              <w:rPr>
                <w:rFonts w:ascii="Arial" w:hAnsi="Arial" w:cs="Arial"/>
                <w:sz w:val="16"/>
                <w:szCs w:val="16"/>
              </w:rPr>
              <w:t>Baseline:</w:t>
            </w:r>
            <w:r w:rsidR="00166356">
              <w:rPr>
                <w:rFonts w:ascii="Arial" w:hAnsi="Arial" w:cs="Arial"/>
                <w:sz w:val="16"/>
                <w:szCs w:val="16"/>
              </w:rPr>
              <w:t xml:space="preserve"> </w:t>
            </w:r>
            <w:r w:rsidR="004B6360" w:rsidRPr="004B6360">
              <w:rPr>
                <w:rFonts w:ascii="Arial" w:hAnsi="Arial" w:cs="Arial"/>
                <w:sz w:val="16"/>
                <w:szCs w:val="16"/>
              </w:rPr>
              <w:t>27% think</w:t>
            </w:r>
            <w:r w:rsidR="008D3562">
              <w:rPr>
                <w:rFonts w:ascii="Arial" w:hAnsi="Arial" w:cs="Arial"/>
                <w:sz w:val="16"/>
                <w:szCs w:val="16"/>
              </w:rPr>
              <w:t xml:space="preserve"> that interethnic relations are </w:t>
            </w:r>
            <w:r w:rsidR="00262AC6" w:rsidRPr="004B6360">
              <w:rPr>
                <w:rFonts w:ascii="Arial" w:hAnsi="Arial" w:cs="Arial"/>
                <w:sz w:val="16"/>
                <w:szCs w:val="16"/>
              </w:rPr>
              <w:t>tense,</w:t>
            </w:r>
            <w:r w:rsidR="004B6360" w:rsidRPr="004B6360">
              <w:rPr>
                <w:rFonts w:ascii="Arial" w:hAnsi="Arial" w:cs="Arial"/>
                <w:sz w:val="16"/>
                <w:szCs w:val="16"/>
              </w:rPr>
              <w:t xml:space="preserve"> and that this situation will remain the same. 28% of respondents described these relations tense but, according to them, there were some improvements made during recent years.</w:t>
            </w:r>
            <w:r w:rsidR="00010523">
              <w:rPr>
                <w:rFonts w:ascii="Arial" w:hAnsi="Arial" w:cs="Arial"/>
                <w:sz w:val="16"/>
                <w:szCs w:val="16"/>
              </w:rPr>
              <w:t xml:space="preserve"> 16%</w:t>
            </w:r>
            <w:r w:rsidR="00010523" w:rsidRPr="004B6360">
              <w:rPr>
                <w:rFonts w:ascii="Arial" w:hAnsi="Arial" w:cs="Arial"/>
                <w:sz w:val="16"/>
                <w:szCs w:val="16"/>
              </w:rPr>
              <w:t xml:space="preserve"> described these relations tense but </w:t>
            </w:r>
            <w:r w:rsidR="00010523">
              <w:rPr>
                <w:rFonts w:ascii="Arial" w:hAnsi="Arial" w:cs="Arial"/>
                <w:sz w:val="16"/>
                <w:szCs w:val="16"/>
              </w:rPr>
              <w:t xml:space="preserve">with considerable improvements. </w:t>
            </w:r>
            <w:r w:rsidR="004B6360" w:rsidRPr="004B6360">
              <w:rPr>
                <w:rFonts w:ascii="Arial" w:hAnsi="Arial" w:cs="Arial"/>
                <w:sz w:val="16"/>
                <w:szCs w:val="16"/>
              </w:rPr>
              <w:t>10% think interet</w:t>
            </w:r>
            <w:r w:rsidR="007C7DF7">
              <w:rPr>
                <w:rFonts w:ascii="Arial" w:hAnsi="Arial" w:cs="Arial"/>
                <w:sz w:val="16"/>
                <w:szCs w:val="16"/>
              </w:rPr>
              <w:t>hnic relations are not so tense. A</w:t>
            </w:r>
            <w:r w:rsidR="004B6360" w:rsidRPr="004B6360">
              <w:rPr>
                <w:rFonts w:ascii="Arial" w:hAnsi="Arial" w:cs="Arial"/>
                <w:sz w:val="16"/>
                <w:szCs w:val="16"/>
              </w:rPr>
              <w:t>round 7% of respondents claim that these relations are not tense at all.</w:t>
            </w:r>
            <w:r w:rsidR="00910C3B">
              <w:rPr>
                <w:rFonts w:ascii="Arial" w:hAnsi="Arial" w:cs="Arial"/>
                <w:sz w:val="16"/>
                <w:szCs w:val="16"/>
              </w:rPr>
              <w:t xml:space="preserve"> (Public Pulse on Youth, 2018)</w:t>
            </w:r>
          </w:p>
          <w:p w14:paraId="6EA21428" w14:textId="2D1CAC51" w:rsidR="00AF493D" w:rsidRPr="00F71698" w:rsidRDefault="00AF493D" w:rsidP="00D570C5">
            <w:pPr>
              <w:rPr>
                <w:rFonts w:ascii="Arial" w:hAnsi="Arial" w:cs="Arial"/>
                <w:sz w:val="16"/>
                <w:szCs w:val="16"/>
              </w:rPr>
            </w:pPr>
            <w:r w:rsidRPr="00F71698">
              <w:rPr>
                <w:rFonts w:ascii="Arial" w:hAnsi="Arial" w:cs="Arial"/>
                <w:sz w:val="16"/>
                <w:szCs w:val="16"/>
              </w:rPr>
              <w:t>Target:</w:t>
            </w:r>
            <w:r w:rsidR="00353B8E">
              <w:rPr>
                <w:rFonts w:ascii="Arial" w:hAnsi="Arial" w:cs="Arial"/>
                <w:sz w:val="16"/>
                <w:szCs w:val="16"/>
              </w:rPr>
              <w:t xml:space="preserve"> TBD</w:t>
            </w:r>
            <w:r w:rsidR="00E60B4C">
              <w:rPr>
                <w:rFonts w:ascii="Arial" w:hAnsi="Arial" w:cs="Arial"/>
                <w:sz w:val="16"/>
                <w:szCs w:val="16"/>
              </w:rPr>
              <w:t xml:space="preserve"> in the inception stage</w:t>
            </w:r>
          </w:p>
          <w:p w14:paraId="5AEC2EA7" w14:textId="77777777" w:rsidR="00AF493D" w:rsidRPr="00F71698" w:rsidRDefault="00AF493D" w:rsidP="00D570C5">
            <w:pPr>
              <w:rPr>
                <w:rFonts w:ascii="Arial" w:hAnsi="Arial" w:cs="Arial"/>
                <w:sz w:val="16"/>
                <w:szCs w:val="16"/>
              </w:rPr>
            </w:pPr>
          </w:p>
        </w:tc>
        <w:tc>
          <w:tcPr>
            <w:tcW w:w="1800" w:type="dxa"/>
            <w:shd w:val="clear" w:color="auto" w:fill="FFFF99"/>
          </w:tcPr>
          <w:p w14:paraId="31C69AB4" w14:textId="2ABABECF" w:rsidR="00AF493D" w:rsidRPr="00F71698" w:rsidRDefault="004B6360" w:rsidP="00D570C5">
            <w:pPr>
              <w:rPr>
                <w:rFonts w:ascii="Arial" w:hAnsi="Arial" w:cs="Arial"/>
                <w:sz w:val="16"/>
                <w:szCs w:val="16"/>
              </w:rPr>
            </w:pPr>
            <w:r>
              <w:rPr>
                <w:rFonts w:ascii="Arial" w:hAnsi="Arial" w:cs="Arial"/>
                <w:sz w:val="16"/>
                <w:szCs w:val="16"/>
              </w:rPr>
              <w:t>Public Pulse Survey</w:t>
            </w:r>
            <w:r w:rsidR="007C7DF7">
              <w:rPr>
                <w:rFonts w:ascii="Arial" w:hAnsi="Arial" w:cs="Arial"/>
                <w:sz w:val="16"/>
                <w:szCs w:val="16"/>
              </w:rPr>
              <w:t xml:space="preserve"> in Kosovo</w:t>
            </w:r>
          </w:p>
        </w:tc>
        <w:tc>
          <w:tcPr>
            <w:tcW w:w="2857" w:type="dxa"/>
            <w:shd w:val="clear" w:color="auto" w:fill="FFFF99"/>
          </w:tcPr>
          <w:p w14:paraId="2B29C3A8" w14:textId="338351CE" w:rsidR="00AF493D" w:rsidRPr="00F71698" w:rsidRDefault="007C7DF7" w:rsidP="00D570C5">
            <w:pPr>
              <w:rPr>
                <w:rFonts w:ascii="Arial" w:hAnsi="Arial" w:cs="Arial"/>
                <w:sz w:val="16"/>
                <w:szCs w:val="16"/>
              </w:rPr>
            </w:pPr>
            <w:r>
              <w:rPr>
                <w:rFonts w:ascii="Arial" w:hAnsi="Arial" w:cs="Arial"/>
                <w:sz w:val="16"/>
                <w:szCs w:val="16"/>
              </w:rPr>
              <w:t>TBD</w:t>
            </w:r>
          </w:p>
        </w:tc>
      </w:tr>
      <w:tr w:rsidR="00AF493D" w:rsidRPr="00F71698" w14:paraId="09191CDE" w14:textId="77777777" w:rsidTr="0060118A">
        <w:tc>
          <w:tcPr>
            <w:tcW w:w="2425" w:type="dxa"/>
            <w:vMerge/>
            <w:tcBorders>
              <w:right w:val="nil"/>
            </w:tcBorders>
            <w:shd w:val="clear" w:color="auto" w:fill="FFFF99"/>
          </w:tcPr>
          <w:p w14:paraId="527B477E" w14:textId="77777777" w:rsidR="00AF493D" w:rsidRPr="00F71698" w:rsidRDefault="00AF493D" w:rsidP="00D570C5">
            <w:pPr>
              <w:rPr>
                <w:rFonts w:ascii="Arial" w:hAnsi="Arial" w:cs="Arial"/>
                <w:sz w:val="16"/>
                <w:szCs w:val="16"/>
              </w:rPr>
            </w:pPr>
          </w:p>
        </w:tc>
        <w:tc>
          <w:tcPr>
            <w:tcW w:w="3263" w:type="dxa"/>
            <w:vMerge/>
            <w:tcBorders>
              <w:top w:val="nil"/>
              <w:left w:val="nil"/>
              <w:bottom w:val="single" w:sz="4" w:space="0" w:color="auto"/>
              <w:right w:val="single" w:sz="4" w:space="0" w:color="auto"/>
            </w:tcBorders>
            <w:shd w:val="clear" w:color="auto" w:fill="000000"/>
          </w:tcPr>
          <w:p w14:paraId="5E72997E" w14:textId="77777777" w:rsidR="00AF493D" w:rsidRPr="00F71698" w:rsidRDefault="00AF493D" w:rsidP="00D570C5">
            <w:pPr>
              <w:rPr>
                <w:rFonts w:ascii="Arial" w:hAnsi="Arial" w:cs="Arial"/>
                <w:sz w:val="16"/>
                <w:szCs w:val="16"/>
              </w:rPr>
            </w:pPr>
          </w:p>
        </w:tc>
        <w:tc>
          <w:tcPr>
            <w:tcW w:w="3780" w:type="dxa"/>
            <w:tcBorders>
              <w:left w:val="single" w:sz="4" w:space="0" w:color="auto"/>
            </w:tcBorders>
            <w:shd w:val="clear" w:color="auto" w:fill="FFFF99"/>
          </w:tcPr>
          <w:p w14:paraId="6D77661D" w14:textId="77777777" w:rsidR="00AF493D" w:rsidRPr="00F71698" w:rsidRDefault="00AF493D" w:rsidP="00D570C5">
            <w:pPr>
              <w:rPr>
                <w:rFonts w:ascii="Arial" w:hAnsi="Arial" w:cs="Arial"/>
                <w:sz w:val="16"/>
                <w:szCs w:val="16"/>
              </w:rPr>
            </w:pPr>
            <w:r w:rsidRPr="00F71698">
              <w:rPr>
                <w:rFonts w:ascii="Arial" w:hAnsi="Arial" w:cs="Arial"/>
                <w:sz w:val="16"/>
                <w:szCs w:val="16"/>
              </w:rPr>
              <w:t>Outcome Indicator 1 b</w:t>
            </w:r>
          </w:p>
          <w:p w14:paraId="18956398" w14:textId="7518D683" w:rsidR="00AF493D" w:rsidRPr="00F71698" w:rsidRDefault="00792393" w:rsidP="00D570C5">
            <w:pPr>
              <w:rPr>
                <w:rFonts w:ascii="Arial" w:hAnsi="Arial" w:cs="Arial"/>
                <w:sz w:val="16"/>
                <w:szCs w:val="16"/>
              </w:rPr>
            </w:pPr>
            <w:r>
              <w:rPr>
                <w:rFonts w:ascii="Arial" w:hAnsi="Arial" w:cs="Arial"/>
                <w:sz w:val="16"/>
                <w:szCs w:val="16"/>
              </w:rPr>
              <w:t xml:space="preserve">% of young women and men </w:t>
            </w:r>
            <w:r w:rsidR="00AB746D">
              <w:rPr>
                <w:rFonts w:ascii="Arial" w:hAnsi="Arial" w:cs="Arial"/>
                <w:sz w:val="16"/>
                <w:szCs w:val="16"/>
              </w:rPr>
              <w:t xml:space="preserve">who consider “having different ethnic groups participate in joint activities” as the best way to improve relations between communities. </w:t>
            </w:r>
          </w:p>
          <w:p w14:paraId="361A77D7" w14:textId="5DC6E895" w:rsidR="00AF493D" w:rsidRPr="001105BE" w:rsidRDefault="00AF493D" w:rsidP="001105BE">
            <w:r w:rsidRPr="003D3621">
              <w:rPr>
                <w:rFonts w:ascii="Arial" w:hAnsi="Arial" w:cs="Arial"/>
                <w:sz w:val="16"/>
                <w:szCs w:val="16"/>
              </w:rPr>
              <w:t>Baseline</w:t>
            </w:r>
            <w:r w:rsidRPr="00F71698">
              <w:t>:</w:t>
            </w:r>
            <w:r w:rsidR="00AB746D">
              <w:t xml:space="preserve"> </w:t>
            </w:r>
            <w:r w:rsidR="00AB746D" w:rsidRPr="0088593C">
              <w:rPr>
                <w:rFonts w:ascii="Arial" w:hAnsi="Arial" w:cs="Arial"/>
                <w:sz w:val="16"/>
                <w:szCs w:val="16"/>
              </w:rPr>
              <w:t>25%</w:t>
            </w:r>
            <w:r w:rsidR="00910C3B">
              <w:rPr>
                <w:rFonts w:ascii="Arial" w:hAnsi="Arial" w:cs="Arial"/>
                <w:sz w:val="16"/>
                <w:szCs w:val="16"/>
              </w:rPr>
              <w:t xml:space="preserve"> (Public Pulse on Youth, 2018)</w:t>
            </w:r>
          </w:p>
          <w:p w14:paraId="307440BC" w14:textId="071E4935" w:rsidR="00AF493D" w:rsidRPr="00F71698" w:rsidRDefault="00AF493D" w:rsidP="00D570C5">
            <w:pPr>
              <w:rPr>
                <w:rFonts w:ascii="Arial" w:hAnsi="Arial" w:cs="Arial"/>
                <w:sz w:val="16"/>
                <w:szCs w:val="16"/>
              </w:rPr>
            </w:pPr>
            <w:r w:rsidRPr="00F71698">
              <w:rPr>
                <w:rFonts w:ascii="Arial" w:hAnsi="Arial" w:cs="Arial"/>
                <w:sz w:val="16"/>
                <w:szCs w:val="16"/>
              </w:rPr>
              <w:t>Target:</w:t>
            </w:r>
            <w:r w:rsidR="00AB746D">
              <w:rPr>
                <w:rFonts w:ascii="Arial" w:hAnsi="Arial" w:cs="Arial"/>
                <w:sz w:val="16"/>
                <w:szCs w:val="16"/>
              </w:rPr>
              <w:t xml:space="preserve"> </w:t>
            </w:r>
            <w:r w:rsidR="0088593C">
              <w:rPr>
                <w:rFonts w:ascii="Arial" w:hAnsi="Arial" w:cs="Arial"/>
                <w:sz w:val="16"/>
                <w:szCs w:val="16"/>
              </w:rPr>
              <w:t>Increase by 10 pp by the end of the project.</w:t>
            </w:r>
          </w:p>
          <w:p w14:paraId="76E426AA" w14:textId="77777777" w:rsidR="00AF493D" w:rsidRPr="00F71698" w:rsidRDefault="00AF493D" w:rsidP="00D570C5">
            <w:pPr>
              <w:rPr>
                <w:rFonts w:ascii="Arial" w:hAnsi="Arial" w:cs="Arial"/>
                <w:sz w:val="16"/>
                <w:szCs w:val="16"/>
              </w:rPr>
            </w:pPr>
          </w:p>
        </w:tc>
        <w:tc>
          <w:tcPr>
            <w:tcW w:w="1800" w:type="dxa"/>
            <w:shd w:val="clear" w:color="auto" w:fill="FFFF99"/>
          </w:tcPr>
          <w:p w14:paraId="29AC34B5" w14:textId="52C5D7F4" w:rsidR="00AF493D" w:rsidRPr="00F71698" w:rsidRDefault="007C7DF7" w:rsidP="00D570C5">
            <w:pPr>
              <w:rPr>
                <w:rFonts w:ascii="Arial" w:hAnsi="Arial" w:cs="Arial"/>
                <w:sz w:val="16"/>
                <w:szCs w:val="16"/>
              </w:rPr>
            </w:pPr>
            <w:r>
              <w:rPr>
                <w:rFonts w:ascii="Arial" w:hAnsi="Arial" w:cs="Arial"/>
                <w:sz w:val="16"/>
                <w:szCs w:val="16"/>
              </w:rPr>
              <w:t>Public Pulse Survey in Kosovo</w:t>
            </w:r>
          </w:p>
        </w:tc>
        <w:tc>
          <w:tcPr>
            <w:tcW w:w="2857" w:type="dxa"/>
            <w:shd w:val="clear" w:color="auto" w:fill="FFFF99"/>
          </w:tcPr>
          <w:p w14:paraId="4E6EBB6D" w14:textId="11EA4ABE" w:rsidR="00AF493D" w:rsidRPr="00F71698" w:rsidRDefault="008429F3" w:rsidP="00D570C5">
            <w:pPr>
              <w:rPr>
                <w:rFonts w:ascii="Arial" w:hAnsi="Arial" w:cs="Arial"/>
                <w:sz w:val="16"/>
                <w:szCs w:val="16"/>
              </w:rPr>
            </w:pPr>
            <w:r>
              <w:rPr>
                <w:rFonts w:ascii="Arial" w:hAnsi="Arial" w:cs="Arial"/>
                <w:sz w:val="16"/>
                <w:szCs w:val="16"/>
              </w:rPr>
              <w:t>Increase by 10 pp by the end of the project.</w:t>
            </w:r>
          </w:p>
        </w:tc>
      </w:tr>
      <w:tr w:rsidR="00AF493D" w:rsidRPr="00F71698" w14:paraId="37CD03A4" w14:textId="77777777" w:rsidTr="0060118A">
        <w:tc>
          <w:tcPr>
            <w:tcW w:w="2425" w:type="dxa"/>
            <w:vMerge/>
            <w:shd w:val="clear" w:color="auto" w:fill="FFFF99"/>
          </w:tcPr>
          <w:p w14:paraId="4A7CADD2" w14:textId="77777777" w:rsidR="00AF493D" w:rsidRPr="00F71698" w:rsidRDefault="00AF493D" w:rsidP="00D570C5">
            <w:pPr>
              <w:rPr>
                <w:rFonts w:ascii="Arial" w:hAnsi="Arial" w:cs="Arial"/>
                <w:sz w:val="16"/>
                <w:szCs w:val="16"/>
              </w:rPr>
            </w:pPr>
          </w:p>
        </w:tc>
        <w:tc>
          <w:tcPr>
            <w:tcW w:w="3263" w:type="dxa"/>
            <w:vMerge w:val="restart"/>
            <w:tcBorders>
              <w:top w:val="single" w:sz="4" w:space="0" w:color="auto"/>
            </w:tcBorders>
            <w:shd w:val="clear" w:color="auto" w:fill="CCFFFF"/>
          </w:tcPr>
          <w:p w14:paraId="2C2524B0" w14:textId="77777777" w:rsidR="00AF493D" w:rsidRDefault="00AF493D" w:rsidP="00D570C5">
            <w:pPr>
              <w:rPr>
                <w:rFonts w:ascii="Arial" w:hAnsi="Arial" w:cs="Arial"/>
                <w:sz w:val="16"/>
                <w:szCs w:val="16"/>
              </w:rPr>
            </w:pPr>
            <w:r w:rsidRPr="00F71698">
              <w:rPr>
                <w:rFonts w:ascii="Arial" w:hAnsi="Arial" w:cs="Arial"/>
                <w:sz w:val="16"/>
                <w:szCs w:val="16"/>
              </w:rPr>
              <w:t xml:space="preserve">Output 1.1 </w:t>
            </w:r>
          </w:p>
          <w:p w14:paraId="27FD2DC9" w14:textId="0D4D960B" w:rsidR="00A02C7A" w:rsidRPr="008A798E" w:rsidRDefault="00784C6E" w:rsidP="00D570C5">
            <w:pPr>
              <w:rPr>
                <w:rFonts w:ascii="Arial" w:hAnsi="Arial" w:cs="Arial"/>
                <w:b/>
                <w:sz w:val="16"/>
                <w:szCs w:val="16"/>
              </w:rPr>
            </w:pPr>
            <w:r w:rsidRPr="008A798E">
              <w:rPr>
                <w:rFonts w:ascii="Arial" w:hAnsi="Arial" w:cs="Arial"/>
                <w:b/>
                <w:sz w:val="16"/>
                <w:szCs w:val="16"/>
              </w:rPr>
              <w:t>Young women and men from communities polarized in the current political environment have established the practice of jointly addressing issues of shared interest and concern</w:t>
            </w:r>
          </w:p>
          <w:p w14:paraId="36D23430" w14:textId="77777777" w:rsidR="00A02C7A" w:rsidRDefault="00A02C7A" w:rsidP="00D570C5">
            <w:pPr>
              <w:rPr>
                <w:rFonts w:ascii="Arial" w:hAnsi="Arial" w:cs="Arial"/>
                <w:sz w:val="16"/>
                <w:szCs w:val="16"/>
              </w:rPr>
            </w:pPr>
          </w:p>
          <w:p w14:paraId="34BE086C" w14:textId="7955EAC7" w:rsidR="00784C6E" w:rsidRDefault="00784C6E" w:rsidP="00D570C5">
            <w:pPr>
              <w:rPr>
                <w:rFonts w:ascii="Arial" w:hAnsi="Arial" w:cs="Arial"/>
                <w:sz w:val="16"/>
                <w:szCs w:val="16"/>
              </w:rPr>
            </w:pPr>
          </w:p>
          <w:p w14:paraId="47D76B72" w14:textId="77777777" w:rsidR="00A02C7A" w:rsidRDefault="00A02C7A" w:rsidP="00D570C5">
            <w:pPr>
              <w:rPr>
                <w:rFonts w:ascii="Arial" w:hAnsi="Arial" w:cs="Arial"/>
                <w:sz w:val="16"/>
                <w:szCs w:val="16"/>
              </w:rPr>
            </w:pPr>
            <w:r>
              <w:rPr>
                <w:rFonts w:ascii="Arial" w:hAnsi="Arial" w:cs="Arial"/>
                <w:sz w:val="16"/>
                <w:szCs w:val="16"/>
              </w:rPr>
              <w:t>List of activities under this Output:</w:t>
            </w:r>
          </w:p>
          <w:p w14:paraId="46DCCF2E" w14:textId="77777777" w:rsidR="00784C6E" w:rsidRDefault="00784C6E" w:rsidP="00784C6E">
            <w:pPr>
              <w:rPr>
                <w:rFonts w:ascii="Arial" w:hAnsi="Arial" w:cs="Arial"/>
                <w:sz w:val="16"/>
                <w:szCs w:val="16"/>
              </w:rPr>
            </w:pPr>
          </w:p>
          <w:p w14:paraId="655FACA5" w14:textId="0E60C415" w:rsidR="00784C6E" w:rsidRDefault="00784C6E" w:rsidP="005E2CBE">
            <w:pPr>
              <w:rPr>
                <w:rFonts w:ascii="Arial" w:hAnsi="Arial" w:cs="Arial"/>
                <w:sz w:val="16"/>
                <w:szCs w:val="16"/>
              </w:rPr>
            </w:pPr>
            <w:r>
              <w:rPr>
                <w:rFonts w:ascii="Arial" w:hAnsi="Arial" w:cs="Arial"/>
                <w:sz w:val="16"/>
                <w:szCs w:val="16"/>
              </w:rPr>
              <w:t xml:space="preserve">1.1.1. Implement the </w:t>
            </w:r>
            <w:r w:rsidRPr="00784C6E">
              <w:rPr>
                <w:rFonts w:ascii="Arial" w:hAnsi="Arial" w:cs="Arial"/>
                <w:sz w:val="16"/>
                <w:szCs w:val="16"/>
              </w:rPr>
              <w:t xml:space="preserve">Upshift social impact </w:t>
            </w:r>
            <w:proofErr w:type="spellStart"/>
            <w:r w:rsidRPr="00784C6E">
              <w:rPr>
                <w:rFonts w:ascii="Arial" w:hAnsi="Arial" w:cs="Arial"/>
                <w:sz w:val="16"/>
                <w:szCs w:val="16"/>
              </w:rPr>
              <w:t>programme</w:t>
            </w:r>
            <w:proofErr w:type="spellEnd"/>
            <w:r>
              <w:rPr>
                <w:rFonts w:ascii="Arial" w:hAnsi="Arial" w:cs="Arial"/>
                <w:sz w:val="16"/>
                <w:szCs w:val="16"/>
              </w:rPr>
              <w:t xml:space="preserve"> for youth, </w:t>
            </w:r>
            <w:r w:rsidRPr="00784C6E">
              <w:rPr>
                <w:rFonts w:ascii="Arial" w:hAnsi="Arial" w:cs="Arial"/>
                <w:sz w:val="16"/>
                <w:szCs w:val="16"/>
              </w:rPr>
              <w:t xml:space="preserve">designing and </w:t>
            </w:r>
            <w:r>
              <w:rPr>
                <w:rFonts w:ascii="Arial" w:hAnsi="Arial" w:cs="Arial"/>
                <w:sz w:val="16"/>
                <w:szCs w:val="16"/>
              </w:rPr>
              <w:t>scaling up</w:t>
            </w:r>
            <w:r w:rsidRPr="00784C6E">
              <w:rPr>
                <w:rFonts w:ascii="Arial" w:hAnsi="Arial" w:cs="Arial"/>
                <w:sz w:val="16"/>
                <w:szCs w:val="16"/>
              </w:rPr>
              <w:t xml:space="preserve"> impactful solutions </w:t>
            </w:r>
            <w:r>
              <w:rPr>
                <w:rFonts w:ascii="Arial" w:hAnsi="Arial" w:cs="Arial"/>
                <w:sz w:val="16"/>
                <w:szCs w:val="16"/>
              </w:rPr>
              <w:t>for issues of common concern (UNICEF)</w:t>
            </w:r>
          </w:p>
          <w:p w14:paraId="37E20228" w14:textId="77777777" w:rsidR="00784C6E" w:rsidRDefault="00784C6E" w:rsidP="005E2CBE">
            <w:pPr>
              <w:rPr>
                <w:rFonts w:ascii="Arial" w:hAnsi="Arial" w:cs="Arial"/>
                <w:sz w:val="16"/>
                <w:szCs w:val="16"/>
              </w:rPr>
            </w:pPr>
          </w:p>
          <w:p w14:paraId="0CE03F24" w14:textId="77777777" w:rsidR="00784C6E" w:rsidRDefault="00784C6E" w:rsidP="00EF1B08">
            <w:pPr>
              <w:rPr>
                <w:rFonts w:ascii="Arial" w:hAnsi="Arial" w:cs="Arial"/>
                <w:sz w:val="16"/>
                <w:szCs w:val="16"/>
              </w:rPr>
            </w:pPr>
            <w:r>
              <w:rPr>
                <w:rFonts w:ascii="Arial" w:hAnsi="Arial" w:cs="Arial"/>
                <w:sz w:val="16"/>
                <w:szCs w:val="16"/>
              </w:rPr>
              <w:t>1.1.2. Deliver the</w:t>
            </w:r>
            <w:r>
              <w:t xml:space="preserve"> </w:t>
            </w:r>
            <w:r w:rsidRPr="00784C6E">
              <w:rPr>
                <w:rFonts w:ascii="Arial" w:hAnsi="Arial" w:cs="Arial"/>
                <w:sz w:val="16"/>
                <w:szCs w:val="16"/>
              </w:rPr>
              <w:t xml:space="preserve">Podium youth advocacy </w:t>
            </w:r>
            <w:proofErr w:type="spellStart"/>
            <w:r w:rsidRPr="00784C6E">
              <w:rPr>
                <w:rFonts w:ascii="Arial" w:hAnsi="Arial" w:cs="Arial"/>
                <w:sz w:val="16"/>
                <w:szCs w:val="16"/>
              </w:rPr>
              <w:t>programme</w:t>
            </w:r>
            <w:proofErr w:type="spellEnd"/>
            <w:r>
              <w:rPr>
                <w:rFonts w:ascii="Arial" w:hAnsi="Arial" w:cs="Arial"/>
                <w:sz w:val="16"/>
                <w:szCs w:val="16"/>
              </w:rPr>
              <w:t xml:space="preserve"> (UNICEF)</w:t>
            </w:r>
          </w:p>
          <w:p w14:paraId="4CCABD65" w14:textId="77777777" w:rsidR="00784C6E" w:rsidRDefault="00784C6E" w:rsidP="008A798E">
            <w:pPr>
              <w:rPr>
                <w:rFonts w:ascii="Arial" w:hAnsi="Arial" w:cs="Arial"/>
                <w:sz w:val="16"/>
                <w:szCs w:val="16"/>
              </w:rPr>
            </w:pPr>
          </w:p>
          <w:p w14:paraId="2F76374C" w14:textId="62E5577E" w:rsidR="00784C6E" w:rsidRDefault="00784C6E" w:rsidP="008A798E">
            <w:pPr>
              <w:rPr>
                <w:rFonts w:ascii="Arial" w:hAnsi="Arial" w:cs="Arial"/>
                <w:sz w:val="16"/>
                <w:szCs w:val="16"/>
              </w:rPr>
            </w:pPr>
            <w:r>
              <w:rPr>
                <w:rFonts w:ascii="Arial" w:hAnsi="Arial" w:cs="Arial"/>
                <w:sz w:val="16"/>
                <w:szCs w:val="16"/>
              </w:rPr>
              <w:t xml:space="preserve">1.1.3. Implement the </w:t>
            </w:r>
            <w:r w:rsidRPr="00784C6E">
              <w:rPr>
                <w:rFonts w:ascii="Arial" w:hAnsi="Arial" w:cs="Arial"/>
                <w:sz w:val="16"/>
                <w:szCs w:val="16"/>
              </w:rPr>
              <w:t xml:space="preserve">Ponder critical media literacy </w:t>
            </w:r>
            <w:proofErr w:type="spellStart"/>
            <w:r w:rsidRPr="00784C6E">
              <w:rPr>
                <w:rFonts w:ascii="Arial" w:hAnsi="Arial" w:cs="Arial"/>
                <w:sz w:val="16"/>
                <w:szCs w:val="16"/>
              </w:rPr>
              <w:t>programme</w:t>
            </w:r>
            <w:proofErr w:type="spellEnd"/>
            <w:r>
              <w:rPr>
                <w:rFonts w:ascii="Arial" w:hAnsi="Arial" w:cs="Arial"/>
                <w:sz w:val="16"/>
                <w:szCs w:val="16"/>
              </w:rPr>
              <w:t xml:space="preserve"> with youth (UNICEF) </w:t>
            </w:r>
          </w:p>
          <w:p w14:paraId="135A7749" w14:textId="109EDE53" w:rsidR="00784C6E" w:rsidRDefault="00784C6E" w:rsidP="008A798E">
            <w:pPr>
              <w:rPr>
                <w:rFonts w:ascii="Arial" w:hAnsi="Arial" w:cs="Arial"/>
                <w:sz w:val="16"/>
                <w:szCs w:val="16"/>
              </w:rPr>
            </w:pPr>
          </w:p>
          <w:p w14:paraId="39C3CF79" w14:textId="0F9B9A70" w:rsidR="00784C6E" w:rsidRDefault="00784C6E" w:rsidP="008A798E">
            <w:pPr>
              <w:rPr>
                <w:rFonts w:ascii="Arial" w:hAnsi="Arial" w:cs="Arial"/>
                <w:sz w:val="16"/>
                <w:szCs w:val="16"/>
              </w:rPr>
            </w:pPr>
            <w:r>
              <w:rPr>
                <w:rFonts w:ascii="Arial" w:hAnsi="Arial" w:cs="Arial"/>
                <w:sz w:val="16"/>
                <w:szCs w:val="16"/>
              </w:rPr>
              <w:t xml:space="preserve">1.1.4. Organize the youth media broadcast </w:t>
            </w:r>
            <w:proofErr w:type="spellStart"/>
            <w:r>
              <w:rPr>
                <w:rFonts w:ascii="Arial" w:hAnsi="Arial" w:cs="Arial"/>
                <w:sz w:val="16"/>
                <w:szCs w:val="16"/>
              </w:rPr>
              <w:t>programme</w:t>
            </w:r>
            <w:proofErr w:type="spellEnd"/>
            <w:r>
              <w:rPr>
                <w:rFonts w:ascii="Arial" w:hAnsi="Arial" w:cs="Arial"/>
                <w:sz w:val="16"/>
                <w:szCs w:val="16"/>
              </w:rPr>
              <w:t xml:space="preserve"> (UNICEF)</w:t>
            </w:r>
          </w:p>
          <w:p w14:paraId="5F8084F1" w14:textId="6078EB9D" w:rsidR="00784C6E" w:rsidRDefault="00784C6E" w:rsidP="008A798E">
            <w:pPr>
              <w:rPr>
                <w:rFonts w:ascii="Arial" w:hAnsi="Arial" w:cs="Arial"/>
                <w:sz w:val="16"/>
                <w:szCs w:val="16"/>
              </w:rPr>
            </w:pPr>
          </w:p>
          <w:p w14:paraId="19F3CC9D" w14:textId="0995F84B" w:rsidR="00784C6E" w:rsidRDefault="00784C6E" w:rsidP="008A798E">
            <w:pPr>
              <w:rPr>
                <w:rFonts w:ascii="Arial" w:hAnsi="Arial" w:cs="Arial"/>
                <w:sz w:val="16"/>
                <w:szCs w:val="16"/>
              </w:rPr>
            </w:pPr>
            <w:r>
              <w:rPr>
                <w:rFonts w:ascii="Arial" w:hAnsi="Arial" w:cs="Arial"/>
                <w:sz w:val="16"/>
                <w:szCs w:val="16"/>
              </w:rPr>
              <w:t xml:space="preserve">1.1.5. Deploy the conflict resolution teacher training </w:t>
            </w:r>
            <w:proofErr w:type="spellStart"/>
            <w:r>
              <w:rPr>
                <w:rFonts w:ascii="Arial" w:hAnsi="Arial" w:cs="Arial"/>
                <w:sz w:val="16"/>
                <w:szCs w:val="16"/>
              </w:rPr>
              <w:t>programme</w:t>
            </w:r>
            <w:proofErr w:type="spellEnd"/>
            <w:r>
              <w:rPr>
                <w:rFonts w:ascii="Arial" w:hAnsi="Arial" w:cs="Arial"/>
                <w:sz w:val="16"/>
                <w:szCs w:val="16"/>
              </w:rPr>
              <w:t xml:space="preserve"> (UNICEF)</w:t>
            </w:r>
          </w:p>
          <w:p w14:paraId="62503DB7" w14:textId="3B5C82CD" w:rsidR="00784C6E" w:rsidRDefault="00784C6E" w:rsidP="008A798E">
            <w:pPr>
              <w:rPr>
                <w:rFonts w:ascii="Arial" w:hAnsi="Arial" w:cs="Arial"/>
                <w:sz w:val="16"/>
                <w:szCs w:val="16"/>
              </w:rPr>
            </w:pPr>
          </w:p>
          <w:p w14:paraId="6712CCD6" w14:textId="372054A2" w:rsidR="00784C6E" w:rsidRDefault="00784C6E" w:rsidP="008A798E">
            <w:pPr>
              <w:rPr>
                <w:rFonts w:ascii="Arial" w:hAnsi="Arial" w:cs="Arial"/>
                <w:sz w:val="16"/>
                <w:szCs w:val="16"/>
              </w:rPr>
            </w:pPr>
            <w:r>
              <w:rPr>
                <w:rFonts w:ascii="Arial" w:hAnsi="Arial" w:cs="Arial"/>
                <w:sz w:val="16"/>
                <w:szCs w:val="16"/>
              </w:rPr>
              <w:t>1.1.6. Implement the y</w:t>
            </w:r>
            <w:r w:rsidRPr="00784C6E">
              <w:rPr>
                <w:rFonts w:ascii="Arial" w:hAnsi="Arial" w:cs="Arial"/>
                <w:sz w:val="16"/>
                <w:szCs w:val="16"/>
              </w:rPr>
              <w:t>outh peer</w:t>
            </w:r>
            <w:r w:rsidR="002F1F61">
              <w:rPr>
                <w:rFonts w:ascii="Arial" w:hAnsi="Arial" w:cs="Arial"/>
                <w:sz w:val="16"/>
                <w:szCs w:val="16"/>
              </w:rPr>
              <w:t xml:space="preserve"> dispute and conflict resolution</w:t>
            </w:r>
            <w:r w:rsidR="00B136C8">
              <w:rPr>
                <w:rFonts w:ascii="Arial" w:hAnsi="Arial" w:cs="Arial"/>
                <w:sz w:val="16"/>
                <w:szCs w:val="16"/>
              </w:rPr>
              <w:t xml:space="preserve"> </w:t>
            </w:r>
            <w:proofErr w:type="spellStart"/>
            <w:r w:rsidRPr="00784C6E">
              <w:rPr>
                <w:rFonts w:ascii="Arial" w:hAnsi="Arial" w:cs="Arial"/>
                <w:sz w:val="16"/>
                <w:szCs w:val="16"/>
              </w:rPr>
              <w:t>programme</w:t>
            </w:r>
            <w:proofErr w:type="spellEnd"/>
            <w:r>
              <w:rPr>
                <w:rFonts w:ascii="Arial" w:hAnsi="Arial" w:cs="Arial"/>
                <w:sz w:val="16"/>
                <w:szCs w:val="16"/>
              </w:rPr>
              <w:t xml:space="preserve"> (UNICEF)</w:t>
            </w:r>
          </w:p>
          <w:p w14:paraId="14AA8EE6" w14:textId="2D3C4D8C" w:rsidR="0014241C" w:rsidRDefault="0014241C" w:rsidP="008A798E">
            <w:pPr>
              <w:rPr>
                <w:rFonts w:ascii="Arial" w:hAnsi="Arial" w:cs="Arial"/>
                <w:sz w:val="16"/>
                <w:szCs w:val="16"/>
              </w:rPr>
            </w:pPr>
          </w:p>
          <w:p w14:paraId="7D77AD2D" w14:textId="12130A6F" w:rsidR="0014241C" w:rsidRDefault="0014241C" w:rsidP="008A798E">
            <w:pPr>
              <w:rPr>
                <w:rFonts w:ascii="Arial" w:hAnsi="Arial" w:cs="Arial"/>
                <w:sz w:val="16"/>
                <w:szCs w:val="16"/>
              </w:rPr>
            </w:pPr>
            <w:r>
              <w:rPr>
                <w:rFonts w:ascii="Arial" w:hAnsi="Arial" w:cs="Arial"/>
                <w:sz w:val="16"/>
                <w:szCs w:val="16"/>
              </w:rPr>
              <w:t xml:space="preserve">1.1.7 </w:t>
            </w:r>
            <w:r w:rsidR="00BA2990" w:rsidRPr="00BA2990">
              <w:rPr>
                <w:rFonts w:ascii="Arial" w:hAnsi="Arial" w:cs="Arial"/>
                <w:sz w:val="16"/>
                <w:szCs w:val="16"/>
              </w:rPr>
              <w:t>Co-organi</w:t>
            </w:r>
            <w:r w:rsidR="00FD236E">
              <w:rPr>
                <w:rFonts w:ascii="Arial" w:hAnsi="Arial" w:cs="Arial"/>
                <w:sz w:val="16"/>
                <w:szCs w:val="16"/>
              </w:rPr>
              <w:t>z</w:t>
            </w:r>
            <w:r w:rsidR="00BA2990" w:rsidRPr="00BA2990">
              <w:rPr>
                <w:rFonts w:ascii="Arial" w:hAnsi="Arial" w:cs="Arial"/>
                <w:sz w:val="16"/>
                <w:szCs w:val="16"/>
              </w:rPr>
              <w:t>e the third Annual UN Youth Assembly (in collaboration with UNMIK)</w:t>
            </w:r>
            <w:r w:rsidR="008A34D5">
              <w:rPr>
                <w:rFonts w:ascii="Arial" w:hAnsi="Arial" w:cs="Arial"/>
                <w:sz w:val="16"/>
                <w:szCs w:val="16"/>
              </w:rPr>
              <w:t xml:space="preserve"> (UNICEF, UNDP</w:t>
            </w:r>
            <w:r w:rsidR="00354337">
              <w:rPr>
                <w:rFonts w:ascii="Arial" w:hAnsi="Arial" w:cs="Arial"/>
                <w:sz w:val="16"/>
                <w:szCs w:val="16"/>
              </w:rPr>
              <w:t>-UNV</w:t>
            </w:r>
            <w:r w:rsidR="008A34D5">
              <w:rPr>
                <w:rFonts w:ascii="Arial" w:hAnsi="Arial" w:cs="Arial"/>
                <w:sz w:val="16"/>
                <w:szCs w:val="16"/>
              </w:rPr>
              <w:t>, UN Women)</w:t>
            </w:r>
          </w:p>
          <w:p w14:paraId="719E71E7" w14:textId="76C645F1" w:rsidR="00784C6E" w:rsidRPr="008A798E" w:rsidRDefault="00784C6E" w:rsidP="008A798E">
            <w:pPr>
              <w:rPr>
                <w:rFonts w:ascii="Arial" w:hAnsi="Arial" w:cs="Arial"/>
                <w:sz w:val="16"/>
                <w:szCs w:val="16"/>
              </w:rPr>
            </w:pPr>
          </w:p>
        </w:tc>
        <w:tc>
          <w:tcPr>
            <w:tcW w:w="3780" w:type="dxa"/>
            <w:shd w:val="clear" w:color="auto" w:fill="CCFFFF"/>
          </w:tcPr>
          <w:p w14:paraId="6684A499" w14:textId="357BBB24" w:rsidR="00AF493D" w:rsidRPr="00F71698" w:rsidRDefault="00AF493D" w:rsidP="00D570C5">
            <w:pPr>
              <w:rPr>
                <w:rFonts w:ascii="Arial" w:hAnsi="Arial" w:cs="Arial"/>
                <w:sz w:val="16"/>
                <w:szCs w:val="16"/>
              </w:rPr>
            </w:pPr>
            <w:r w:rsidRPr="00F71698">
              <w:rPr>
                <w:rFonts w:ascii="Arial" w:hAnsi="Arial" w:cs="Arial"/>
                <w:sz w:val="16"/>
                <w:szCs w:val="16"/>
              </w:rPr>
              <w:lastRenderedPageBreak/>
              <w:t>Output Indicator 1.1.</w:t>
            </w:r>
            <w:r w:rsidR="001105BE">
              <w:rPr>
                <w:rFonts w:ascii="Arial" w:hAnsi="Arial" w:cs="Arial"/>
                <w:sz w:val="16"/>
                <w:szCs w:val="16"/>
              </w:rPr>
              <w:t>1</w:t>
            </w:r>
          </w:p>
          <w:p w14:paraId="5CCDCA4B" w14:textId="77777777" w:rsidR="00F07D51" w:rsidRPr="000D4EA4" w:rsidRDefault="00F07D51" w:rsidP="00F07D51">
            <w:pPr>
              <w:rPr>
                <w:rFonts w:ascii="Arial" w:hAnsi="Arial" w:cs="Arial"/>
                <w:sz w:val="16"/>
                <w:szCs w:val="16"/>
              </w:rPr>
            </w:pPr>
            <w:r w:rsidRPr="000D4EA4">
              <w:rPr>
                <w:rFonts w:ascii="Arial" w:hAnsi="Arial" w:cs="Arial"/>
                <w:sz w:val="16"/>
                <w:szCs w:val="16"/>
              </w:rPr>
              <w:t>Number of young men and women who have benefited directly from peacebuilding interventions</w:t>
            </w:r>
          </w:p>
          <w:p w14:paraId="5C82485B" w14:textId="77777777" w:rsidR="00F07D51" w:rsidRDefault="00F07D51" w:rsidP="00D570C5">
            <w:pPr>
              <w:rPr>
                <w:rFonts w:ascii="Arial" w:hAnsi="Arial" w:cs="Arial"/>
                <w:sz w:val="16"/>
                <w:szCs w:val="16"/>
              </w:rPr>
            </w:pPr>
          </w:p>
          <w:p w14:paraId="54B8122C" w14:textId="19270842" w:rsidR="001105BE" w:rsidRDefault="00AF493D" w:rsidP="00D570C5">
            <w:pPr>
              <w:rPr>
                <w:rFonts w:ascii="Arial" w:hAnsi="Arial" w:cs="Arial"/>
                <w:sz w:val="16"/>
                <w:szCs w:val="16"/>
              </w:rPr>
            </w:pPr>
            <w:r w:rsidRPr="00F71698">
              <w:rPr>
                <w:rFonts w:ascii="Arial" w:hAnsi="Arial" w:cs="Arial"/>
                <w:sz w:val="16"/>
                <w:szCs w:val="16"/>
              </w:rPr>
              <w:t>Baseline:</w:t>
            </w:r>
            <w:r w:rsidR="00F07D51">
              <w:rPr>
                <w:rFonts w:ascii="Arial" w:hAnsi="Arial" w:cs="Arial"/>
                <w:sz w:val="16"/>
                <w:szCs w:val="16"/>
              </w:rPr>
              <w:t xml:space="preserve"> </w:t>
            </w:r>
            <w:r w:rsidR="00D263FB" w:rsidRPr="000D4EA4">
              <w:rPr>
                <w:rFonts w:ascii="Arial" w:hAnsi="Arial" w:cs="Arial"/>
                <w:sz w:val="16"/>
                <w:szCs w:val="16"/>
              </w:rPr>
              <w:t>0</w:t>
            </w:r>
          </w:p>
          <w:p w14:paraId="5C128990" w14:textId="60BAAEBA" w:rsidR="00AF493D" w:rsidRPr="00F71698" w:rsidRDefault="001105BE" w:rsidP="00D570C5">
            <w:pPr>
              <w:rPr>
                <w:rFonts w:ascii="Arial" w:hAnsi="Arial" w:cs="Arial"/>
                <w:sz w:val="16"/>
                <w:szCs w:val="16"/>
              </w:rPr>
            </w:pPr>
            <w:r>
              <w:rPr>
                <w:rFonts w:ascii="Arial" w:hAnsi="Arial" w:cs="Arial"/>
                <w:sz w:val="16"/>
                <w:szCs w:val="16"/>
              </w:rPr>
              <w:t>T</w:t>
            </w:r>
            <w:r w:rsidR="00AF493D" w:rsidRPr="00F71698">
              <w:rPr>
                <w:rFonts w:ascii="Arial" w:hAnsi="Arial" w:cs="Arial"/>
                <w:sz w:val="16"/>
                <w:szCs w:val="16"/>
              </w:rPr>
              <w:t>arget:</w:t>
            </w:r>
            <w:r w:rsidR="00D263FB">
              <w:rPr>
                <w:rFonts w:ascii="Arial" w:hAnsi="Arial" w:cs="Arial"/>
                <w:sz w:val="16"/>
                <w:szCs w:val="16"/>
              </w:rPr>
              <w:t xml:space="preserve"> </w:t>
            </w:r>
            <w:r w:rsidR="00D263FB" w:rsidRPr="000D4EA4">
              <w:rPr>
                <w:rFonts w:ascii="Arial" w:hAnsi="Arial" w:cs="Arial"/>
                <w:sz w:val="16"/>
                <w:szCs w:val="16"/>
              </w:rPr>
              <w:t>3,140 young women and men (50% women)</w:t>
            </w:r>
          </w:p>
          <w:p w14:paraId="4E344AE7" w14:textId="77777777" w:rsidR="00AF493D" w:rsidRPr="00F71698" w:rsidRDefault="00AF493D" w:rsidP="00D570C5">
            <w:pPr>
              <w:rPr>
                <w:rFonts w:ascii="Arial" w:hAnsi="Arial" w:cs="Arial"/>
                <w:sz w:val="16"/>
                <w:szCs w:val="16"/>
              </w:rPr>
            </w:pPr>
          </w:p>
        </w:tc>
        <w:tc>
          <w:tcPr>
            <w:tcW w:w="1800" w:type="dxa"/>
            <w:shd w:val="clear" w:color="auto" w:fill="CCFFFF"/>
          </w:tcPr>
          <w:p w14:paraId="472A67D8" w14:textId="5BBB808B" w:rsidR="00AF493D" w:rsidRPr="00F71698" w:rsidRDefault="00D263FB" w:rsidP="00D570C5">
            <w:pPr>
              <w:rPr>
                <w:rFonts w:ascii="Arial" w:hAnsi="Arial" w:cs="Arial"/>
                <w:sz w:val="16"/>
                <w:szCs w:val="16"/>
              </w:rPr>
            </w:pPr>
            <w:r w:rsidRPr="000D4EA4">
              <w:rPr>
                <w:rFonts w:ascii="Arial" w:hAnsi="Arial" w:cs="Arial"/>
                <w:sz w:val="16"/>
                <w:szCs w:val="16"/>
              </w:rPr>
              <w:t>Project records, workshop reports, workshop attendance sheets</w:t>
            </w:r>
          </w:p>
        </w:tc>
        <w:tc>
          <w:tcPr>
            <w:tcW w:w="2857" w:type="dxa"/>
            <w:shd w:val="clear" w:color="auto" w:fill="CCFFFF"/>
          </w:tcPr>
          <w:p w14:paraId="6993AA8C" w14:textId="3E05640D" w:rsidR="00D263FB" w:rsidRDefault="00D263FB" w:rsidP="00D570C5">
            <w:pPr>
              <w:rPr>
                <w:rFonts w:ascii="Arial" w:hAnsi="Arial" w:cs="Arial"/>
                <w:sz w:val="16"/>
                <w:szCs w:val="16"/>
              </w:rPr>
            </w:pPr>
            <w:r w:rsidRPr="000D4EA4">
              <w:rPr>
                <w:rFonts w:ascii="Arial" w:hAnsi="Arial" w:cs="Arial"/>
                <w:sz w:val="16"/>
                <w:szCs w:val="16"/>
              </w:rPr>
              <w:t xml:space="preserve">After 12 </w:t>
            </w:r>
            <w:r>
              <w:rPr>
                <w:rFonts w:ascii="Arial" w:hAnsi="Arial" w:cs="Arial"/>
                <w:sz w:val="16"/>
                <w:szCs w:val="16"/>
              </w:rPr>
              <w:t>months: 2,000 youth (50% women)</w:t>
            </w:r>
            <w:r w:rsidRPr="000D4EA4">
              <w:rPr>
                <w:rFonts w:ascii="Arial" w:hAnsi="Arial" w:cs="Arial"/>
                <w:sz w:val="16"/>
                <w:szCs w:val="16"/>
              </w:rPr>
              <w:t xml:space="preserve"> </w:t>
            </w:r>
          </w:p>
          <w:p w14:paraId="40DEA0D6" w14:textId="2DF6A138" w:rsidR="00AF493D" w:rsidRPr="00F71698" w:rsidRDefault="00D263FB" w:rsidP="00D570C5">
            <w:pPr>
              <w:rPr>
                <w:rFonts w:ascii="Arial" w:hAnsi="Arial" w:cs="Arial"/>
                <w:sz w:val="16"/>
                <w:szCs w:val="16"/>
              </w:rPr>
            </w:pPr>
            <w:r w:rsidRPr="000D4EA4">
              <w:rPr>
                <w:rFonts w:ascii="Arial" w:hAnsi="Arial" w:cs="Arial"/>
                <w:sz w:val="16"/>
                <w:szCs w:val="16"/>
              </w:rPr>
              <w:t>By the end of the project: 3,140 youth (50% women) deployed</w:t>
            </w:r>
          </w:p>
        </w:tc>
      </w:tr>
      <w:tr w:rsidR="00AF493D" w:rsidRPr="00F71698" w14:paraId="001A1F9D" w14:textId="77777777" w:rsidTr="0060118A">
        <w:tc>
          <w:tcPr>
            <w:tcW w:w="2425" w:type="dxa"/>
            <w:vMerge/>
            <w:shd w:val="clear" w:color="auto" w:fill="FFFF99"/>
          </w:tcPr>
          <w:p w14:paraId="4F117282" w14:textId="77777777" w:rsidR="00AF493D" w:rsidRPr="00F71698" w:rsidRDefault="00AF493D" w:rsidP="00D570C5">
            <w:pPr>
              <w:rPr>
                <w:rFonts w:ascii="Arial" w:hAnsi="Arial" w:cs="Arial"/>
                <w:sz w:val="16"/>
                <w:szCs w:val="16"/>
              </w:rPr>
            </w:pPr>
          </w:p>
        </w:tc>
        <w:tc>
          <w:tcPr>
            <w:tcW w:w="3263" w:type="dxa"/>
            <w:vMerge/>
            <w:shd w:val="clear" w:color="auto" w:fill="CCFFFF"/>
          </w:tcPr>
          <w:p w14:paraId="6B62CD73" w14:textId="77777777" w:rsidR="00AF493D" w:rsidRPr="00F71698" w:rsidRDefault="00AF493D" w:rsidP="00D570C5">
            <w:pPr>
              <w:rPr>
                <w:rFonts w:ascii="Arial" w:hAnsi="Arial" w:cs="Arial"/>
                <w:sz w:val="16"/>
                <w:szCs w:val="16"/>
              </w:rPr>
            </w:pPr>
          </w:p>
        </w:tc>
        <w:tc>
          <w:tcPr>
            <w:tcW w:w="3780" w:type="dxa"/>
            <w:shd w:val="clear" w:color="auto" w:fill="CCFFFF"/>
          </w:tcPr>
          <w:p w14:paraId="4870A804" w14:textId="77777777" w:rsidR="00AF493D" w:rsidRPr="00F71698" w:rsidRDefault="00AF493D" w:rsidP="00D570C5">
            <w:pPr>
              <w:rPr>
                <w:rFonts w:ascii="Arial" w:hAnsi="Arial" w:cs="Arial"/>
                <w:sz w:val="16"/>
                <w:szCs w:val="16"/>
              </w:rPr>
            </w:pPr>
            <w:r w:rsidRPr="00F71698">
              <w:rPr>
                <w:rFonts w:ascii="Arial" w:hAnsi="Arial" w:cs="Arial"/>
                <w:sz w:val="16"/>
                <w:szCs w:val="16"/>
              </w:rPr>
              <w:t>Output Indicator 1.1.2</w:t>
            </w:r>
          </w:p>
          <w:p w14:paraId="78DABE5C" w14:textId="77777777" w:rsidR="00D263FB" w:rsidRPr="000D4EA4" w:rsidRDefault="00D263FB" w:rsidP="00D263FB">
            <w:pPr>
              <w:rPr>
                <w:rFonts w:ascii="Arial" w:hAnsi="Arial" w:cs="Arial"/>
                <w:sz w:val="16"/>
                <w:szCs w:val="16"/>
              </w:rPr>
            </w:pPr>
            <w:r w:rsidRPr="000D4EA4">
              <w:rPr>
                <w:rFonts w:ascii="Arial" w:hAnsi="Arial" w:cs="Arial"/>
                <w:sz w:val="16"/>
                <w:szCs w:val="16"/>
              </w:rPr>
              <w:t>Number of joint youth-led peacebuilding initiatives</w:t>
            </w:r>
          </w:p>
          <w:p w14:paraId="24EA8961" w14:textId="77777777" w:rsidR="00AF493D" w:rsidRPr="00F71698" w:rsidRDefault="00AF493D" w:rsidP="00D570C5">
            <w:pPr>
              <w:rPr>
                <w:rFonts w:ascii="Arial" w:hAnsi="Arial" w:cs="Arial"/>
                <w:sz w:val="16"/>
                <w:szCs w:val="16"/>
              </w:rPr>
            </w:pPr>
          </w:p>
          <w:p w14:paraId="54A5259B" w14:textId="0F007E3A" w:rsidR="00AF493D" w:rsidRPr="00F71698" w:rsidRDefault="00AF493D" w:rsidP="00D570C5">
            <w:pPr>
              <w:rPr>
                <w:rFonts w:ascii="Arial" w:hAnsi="Arial" w:cs="Arial"/>
                <w:sz w:val="16"/>
                <w:szCs w:val="16"/>
              </w:rPr>
            </w:pPr>
            <w:r w:rsidRPr="00F71698">
              <w:rPr>
                <w:rFonts w:ascii="Arial" w:hAnsi="Arial" w:cs="Arial"/>
                <w:sz w:val="16"/>
                <w:szCs w:val="16"/>
              </w:rPr>
              <w:t>Baseline:</w:t>
            </w:r>
            <w:r w:rsidR="00D263FB">
              <w:rPr>
                <w:rFonts w:ascii="Arial" w:hAnsi="Arial" w:cs="Arial"/>
                <w:sz w:val="16"/>
                <w:szCs w:val="16"/>
              </w:rPr>
              <w:t xml:space="preserve"> 0</w:t>
            </w:r>
          </w:p>
          <w:p w14:paraId="5EA07D34" w14:textId="59F62B8C" w:rsidR="00AF493D" w:rsidRPr="00F71698" w:rsidRDefault="00AF493D" w:rsidP="00D570C5">
            <w:pPr>
              <w:rPr>
                <w:rFonts w:ascii="Arial" w:hAnsi="Arial" w:cs="Arial"/>
                <w:sz w:val="16"/>
                <w:szCs w:val="16"/>
              </w:rPr>
            </w:pPr>
            <w:r w:rsidRPr="00F71698">
              <w:rPr>
                <w:rFonts w:ascii="Arial" w:hAnsi="Arial" w:cs="Arial"/>
                <w:sz w:val="16"/>
                <w:szCs w:val="16"/>
              </w:rPr>
              <w:t>Target:</w:t>
            </w:r>
            <w:r w:rsidR="00D263FB">
              <w:rPr>
                <w:rFonts w:ascii="Arial" w:hAnsi="Arial" w:cs="Arial"/>
                <w:sz w:val="16"/>
                <w:szCs w:val="16"/>
              </w:rPr>
              <w:t xml:space="preserve"> </w:t>
            </w:r>
            <w:r w:rsidR="00D263FB" w:rsidRPr="000D4EA4">
              <w:rPr>
                <w:rFonts w:ascii="Arial" w:hAnsi="Arial" w:cs="Arial"/>
                <w:sz w:val="16"/>
                <w:szCs w:val="16"/>
              </w:rPr>
              <w:t>154 initiatives</w:t>
            </w:r>
          </w:p>
          <w:p w14:paraId="4DF0222F" w14:textId="77777777" w:rsidR="00AF493D" w:rsidRPr="00F71698" w:rsidRDefault="00AF493D" w:rsidP="00D570C5">
            <w:pPr>
              <w:rPr>
                <w:rFonts w:ascii="Arial" w:hAnsi="Arial" w:cs="Arial"/>
                <w:sz w:val="16"/>
                <w:szCs w:val="16"/>
              </w:rPr>
            </w:pPr>
          </w:p>
        </w:tc>
        <w:tc>
          <w:tcPr>
            <w:tcW w:w="1800" w:type="dxa"/>
            <w:shd w:val="clear" w:color="auto" w:fill="CCFFFF"/>
          </w:tcPr>
          <w:p w14:paraId="105C4D4D" w14:textId="6FC1B41F" w:rsidR="00AF493D" w:rsidRPr="00F71698" w:rsidRDefault="00D263FB" w:rsidP="00D570C5">
            <w:pPr>
              <w:rPr>
                <w:rFonts w:ascii="Arial" w:hAnsi="Arial" w:cs="Arial"/>
                <w:sz w:val="16"/>
                <w:szCs w:val="16"/>
              </w:rPr>
            </w:pPr>
            <w:r w:rsidRPr="000D4EA4">
              <w:rPr>
                <w:rFonts w:ascii="Arial" w:hAnsi="Arial" w:cs="Arial"/>
                <w:sz w:val="16"/>
                <w:szCs w:val="16"/>
              </w:rPr>
              <w:t>Project records, human interest stories</w:t>
            </w:r>
          </w:p>
        </w:tc>
        <w:tc>
          <w:tcPr>
            <w:tcW w:w="2857" w:type="dxa"/>
            <w:shd w:val="clear" w:color="auto" w:fill="CCFFFF"/>
          </w:tcPr>
          <w:p w14:paraId="2EFBBB63" w14:textId="4ED29A12" w:rsidR="00D263FB" w:rsidRDefault="00D263FB" w:rsidP="00D570C5">
            <w:pPr>
              <w:rPr>
                <w:rFonts w:ascii="Arial" w:hAnsi="Arial" w:cs="Arial"/>
                <w:sz w:val="16"/>
                <w:szCs w:val="16"/>
              </w:rPr>
            </w:pPr>
            <w:r w:rsidRPr="000D4EA4">
              <w:rPr>
                <w:rFonts w:ascii="Arial" w:hAnsi="Arial" w:cs="Arial"/>
                <w:sz w:val="16"/>
                <w:szCs w:val="16"/>
              </w:rPr>
              <w:t>A</w:t>
            </w:r>
            <w:r>
              <w:rPr>
                <w:rFonts w:ascii="Arial" w:hAnsi="Arial" w:cs="Arial"/>
                <w:sz w:val="16"/>
                <w:szCs w:val="16"/>
              </w:rPr>
              <w:t>fter 12 months: 100 initiatives</w:t>
            </w:r>
            <w:r w:rsidRPr="000D4EA4">
              <w:rPr>
                <w:rFonts w:ascii="Arial" w:hAnsi="Arial" w:cs="Arial"/>
                <w:sz w:val="16"/>
                <w:szCs w:val="16"/>
              </w:rPr>
              <w:t xml:space="preserve"> </w:t>
            </w:r>
          </w:p>
          <w:p w14:paraId="400E4FD9" w14:textId="1F2D7C06" w:rsidR="00AF493D" w:rsidRPr="00F71698" w:rsidRDefault="00D263FB" w:rsidP="00D570C5">
            <w:pPr>
              <w:rPr>
                <w:rFonts w:ascii="Arial" w:hAnsi="Arial" w:cs="Arial"/>
                <w:sz w:val="16"/>
                <w:szCs w:val="16"/>
              </w:rPr>
            </w:pPr>
            <w:r w:rsidRPr="000D4EA4">
              <w:rPr>
                <w:rFonts w:ascii="Arial" w:hAnsi="Arial" w:cs="Arial"/>
                <w:sz w:val="16"/>
                <w:szCs w:val="16"/>
              </w:rPr>
              <w:t>By the end of the project: 154 initiatives</w:t>
            </w:r>
          </w:p>
        </w:tc>
      </w:tr>
      <w:tr w:rsidR="00AF493D" w:rsidRPr="00F71698" w14:paraId="2D57B84C" w14:textId="77777777" w:rsidTr="0060118A">
        <w:tc>
          <w:tcPr>
            <w:tcW w:w="2425" w:type="dxa"/>
            <w:vMerge/>
            <w:shd w:val="clear" w:color="auto" w:fill="FFFF99"/>
          </w:tcPr>
          <w:p w14:paraId="053B6D1B" w14:textId="77777777" w:rsidR="00AF493D" w:rsidRPr="00F71698" w:rsidRDefault="00AF493D" w:rsidP="00D570C5">
            <w:pPr>
              <w:rPr>
                <w:rFonts w:ascii="Arial" w:hAnsi="Arial" w:cs="Arial"/>
                <w:sz w:val="16"/>
                <w:szCs w:val="16"/>
              </w:rPr>
            </w:pPr>
          </w:p>
        </w:tc>
        <w:tc>
          <w:tcPr>
            <w:tcW w:w="3263" w:type="dxa"/>
            <w:vMerge/>
            <w:tcBorders>
              <w:bottom w:val="single" w:sz="4" w:space="0" w:color="auto"/>
            </w:tcBorders>
            <w:shd w:val="clear" w:color="auto" w:fill="CCFFFF"/>
          </w:tcPr>
          <w:p w14:paraId="53D55896" w14:textId="77777777" w:rsidR="00AF493D" w:rsidRPr="00F71698" w:rsidRDefault="00AF493D" w:rsidP="00D570C5">
            <w:pPr>
              <w:rPr>
                <w:rFonts w:ascii="Arial" w:hAnsi="Arial" w:cs="Arial"/>
                <w:sz w:val="16"/>
                <w:szCs w:val="16"/>
              </w:rPr>
            </w:pPr>
          </w:p>
        </w:tc>
        <w:tc>
          <w:tcPr>
            <w:tcW w:w="3780" w:type="dxa"/>
            <w:tcBorders>
              <w:bottom w:val="single" w:sz="4" w:space="0" w:color="auto"/>
            </w:tcBorders>
            <w:shd w:val="clear" w:color="auto" w:fill="CCFFFF"/>
          </w:tcPr>
          <w:p w14:paraId="3AB4480C" w14:textId="77777777" w:rsidR="00AF493D" w:rsidRPr="00F71698" w:rsidRDefault="00AF493D" w:rsidP="00D570C5">
            <w:pPr>
              <w:rPr>
                <w:rFonts w:ascii="Arial" w:hAnsi="Arial" w:cs="Arial"/>
                <w:sz w:val="16"/>
                <w:szCs w:val="16"/>
              </w:rPr>
            </w:pPr>
            <w:r w:rsidRPr="00F71698">
              <w:rPr>
                <w:rFonts w:ascii="Arial" w:hAnsi="Arial" w:cs="Arial"/>
                <w:sz w:val="16"/>
                <w:szCs w:val="16"/>
              </w:rPr>
              <w:t>Output Indicator 1.1.3</w:t>
            </w:r>
          </w:p>
          <w:p w14:paraId="313CC7FB" w14:textId="6C72F571" w:rsidR="00AF493D" w:rsidRDefault="00DF6154" w:rsidP="00D570C5">
            <w:pPr>
              <w:rPr>
                <w:rFonts w:ascii="Arial" w:hAnsi="Arial" w:cs="Arial"/>
                <w:sz w:val="16"/>
                <w:szCs w:val="16"/>
              </w:rPr>
            </w:pPr>
            <w:r w:rsidRPr="000D4EA4">
              <w:rPr>
                <w:rFonts w:ascii="Arial" w:hAnsi="Arial" w:cs="Arial"/>
                <w:sz w:val="16"/>
                <w:szCs w:val="16"/>
              </w:rPr>
              <w:t>% of young men and women who feel more prepared to get actively engaged in peace building community initiatives</w:t>
            </w:r>
          </w:p>
          <w:p w14:paraId="113ECE50" w14:textId="77777777" w:rsidR="00DF6154" w:rsidRPr="00F71698" w:rsidRDefault="00DF6154" w:rsidP="00D570C5">
            <w:pPr>
              <w:rPr>
                <w:rFonts w:ascii="Arial" w:hAnsi="Arial" w:cs="Arial"/>
                <w:sz w:val="16"/>
                <w:szCs w:val="16"/>
              </w:rPr>
            </w:pPr>
          </w:p>
          <w:p w14:paraId="03D0B6F0" w14:textId="5D2A73E1" w:rsidR="00AF493D" w:rsidRPr="00F71698" w:rsidRDefault="00AF493D" w:rsidP="00D570C5">
            <w:pPr>
              <w:rPr>
                <w:rFonts w:ascii="Arial" w:hAnsi="Arial" w:cs="Arial"/>
                <w:sz w:val="16"/>
                <w:szCs w:val="16"/>
              </w:rPr>
            </w:pPr>
            <w:r w:rsidRPr="00F71698">
              <w:rPr>
                <w:rFonts w:ascii="Arial" w:hAnsi="Arial" w:cs="Arial"/>
                <w:sz w:val="16"/>
                <w:szCs w:val="16"/>
              </w:rPr>
              <w:t>Baseline:</w:t>
            </w:r>
            <w:r w:rsidR="00DF6154">
              <w:rPr>
                <w:rFonts w:ascii="Arial" w:hAnsi="Arial" w:cs="Arial"/>
                <w:sz w:val="16"/>
                <w:szCs w:val="16"/>
              </w:rPr>
              <w:t xml:space="preserve"> </w:t>
            </w:r>
            <w:r w:rsidR="00DF6154" w:rsidRPr="000D4EA4">
              <w:rPr>
                <w:rFonts w:ascii="Arial" w:hAnsi="Arial" w:cs="Arial"/>
                <w:sz w:val="16"/>
                <w:szCs w:val="16"/>
              </w:rPr>
              <w:t>TBD in the inception period at the onset of the project</w:t>
            </w:r>
          </w:p>
          <w:p w14:paraId="7906C4FD" w14:textId="27EADD09" w:rsidR="00AF493D" w:rsidRPr="00F71698" w:rsidRDefault="00AF493D" w:rsidP="00D570C5">
            <w:pPr>
              <w:rPr>
                <w:rFonts w:ascii="Arial" w:hAnsi="Arial" w:cs="Arial"/>
                <w:sz w:val="16"/>
                <w:szCs w:val="16"/>
              </w:rPr>
            </w:pPr>
            <w:r w:rsidRPr="00F71698">
              <w:rPr>
                <w:rFonts w:ascii="Arial" w:hAnsi="Arial" w:cs="Arial"/>
                <w:sz w:val="16"/>
                <w:szCs w:val="16"/>
              </w:rPr>
              <w:t>Target:</w:t>
            </w:r>
            <w:r w:rsidR="00DF6154">
              <w:rPr>
                <w:rFonts w:ascii="Arial" w:hAnsi="Arial" w:cs="Arial"/>
                <w:sz w:val="16"/>
                <w:szCs w:val="16"/>
              </w:rPr>
              <w:t xml:space="preserve"> </w:t>
            </w:r>
            <w:r w:rsidR="00DF6154" w:rsidRPr="000D4EA4">
              <w:rPr>
                <w:rFonts w:ascii="Arial" w:hAnsi="Arial" w:cs="Arial"/>
                <w:sz w:val="16"/>
                <w:szCs w:val="16"/>
              </w:rPr>
              <w:t>30% increase from baseline</w:t>
            </w:r>
          </w:p>
          <w:p w14:paraId="13C019C5" w14:textId="77777777" w:rsidR="00AF493D" w:rsidRPr="00F71698" w:rsidRDefault="00AF493D" w:rsidP="00D570C5">
            <w:pPr>
              <w:rPr>
                <w:rFonts w:ascii="Arial" w:hAnsi="Arial" w:cs="Arial"/>
                <w:sz w:val="16"/>
                <w:szCs w:val="16"/>
              </w:rPr>
            </w:pPr>
          </w:p>
        </w:tc>
        <w:tc>
          <w:tcPr>
            <w:tcW w:w="1800" w:type="dxa"/>
            <w:tcBorders>
              <w:bottom w:val="single" w:sz="4" w:space="0" w:color="auto"/>
            </w:tcBorders>
            <w:shd w:val="clear" w:color="auto" w:fill="CCFFFF"/>
          </w:tcPr>
          <w:p w14:paraId="4BA957C8" w14:textId="4E51D852" w:rsidR="00AF493D" w:rsidRPr="00F71698" w:rsidRDefault="00DF6154" w:rsidP="00D570C5">
            <w:pPr>
              <w:rPr>
                <w:rFonts w:ascii="Arial" w:hAnsi="Arial" w:cs="Arial"/>
                <w:sz w:val="16"/>
                <w:szCs w:val="16"/>
              </w:rPr>
            </w:pPr>
            <w:r w:rsidRPr="000D4EA4">
              <w:rPr>
                <w:rFonts w:ascii="Arial" w:hAnsi="Arial" w:cs="Arial"/>
                <w:sz w:val="16"/>
                <w:szCs w:val="16"/>
              </w:rPr>
              <w:t>Project records, pre and post assessments</w:t>
            </w:r>
          </w:p>
        </w:tc>
        <w:tc>
          <w:tcPr>
            <w:tcW w:w="2857" w:type="dxa"/>
            <w:tcBorders>
              <w:bottom w:val="single" w:sz="4" w:space="0" w:color="auto"/>
            </w:tcBorders>
            <w:shd w:val="clear" w:color="auto" w:fill="CCFFFF"/>
          </w:tcPr>
          <w:p w14:paraId="5CC27F0B" w14:textId="3C3DB565" w:rsidR="002E7D24" w:rsidRDefault="00DF6154" w:rsidP="00D570C5">
            <w:pPr>
              <w:rPr>
                <w:rFonts w:ascii="Arial" w:hAnsi="Arial" w:cs="Arial"/>
                <w:sz w:val="16"/>
                <w:szCs w:val="16"/>
              </w:rPr>
            </w:pPr>
            <w:r w:rsidRPr="000D4EA4">
              <w:rPr>
                <w:rFonts w:ascii="Arial" w:hAnsi="Arial" w:cs="Arial"/>
                <w:sz w:val="16"/>
                <w:szCs w:val="16"/>
              </w:rPr>
              <w:t>After 12 months: n/a</w:t>
            </w:r>
          </w:p>
          <w:p w14:paraId="3A997CDB" w14:textId="2C90B8DE" w:rsidR="00AF493D" w:rsidRPr="00F71698" w:rsidRDefault="00DF6154" w:rsidP="00D570C5">
            <w:pPr>
              <w:rPr>
                <w:rFonts w:ascii="Arial" w:hAnsi="Arial" w:cs="Arial"/>
                <w:sz w:val="16"/>
                <w:szCs w:val="16"/>
              </w:rPr>
            </w:pPr>
            <w:r w:rsidRPr="000D4EA4">
              <w:rPr>
                <w:rFonts w:ascii="Arial" w:hAnsi="Arial" w:cs="Arial"/>
                <w:sz w:val="16"/>
                <w:szCs w:val="16"/>
              </w:rPr>
              <w:t>By the end of the project: 30% increase from baseline</w:t>
            </w:r>
          </w:p>
        </w:tc>
      </w:tr>
      <w:tr w:rsidR="00AF493D" w:rsidRPr="00F71698" w14:paraId="2C60ABF0" w14:textId="77777777" w:rsidTr="0060118A">
        <w:tc>
          <w:tcPr>
            <w:tcW w:w="2425" w:type="dxa"/>
            <w:vMerge/>
            <w:shd w:val="clear" w:color="auto" w:fill="FFFF99"/>
          </w:tcPr>
          <w:p w14:paraId="1946142D" w14:textId="77777777" w:rsidR="00AF493D" w:rsidRPr="00F71698" w:rsidRDefault="00AF493D" w:rsidP="00D570C5">
            <w:pPr>
              <w:rPr>
                <w:rFonts w:ascii="Arial" w:hAnsi="Arial" w:cs="Arial"/>
                <w:sz w:val="16"/>
                <w:szCs w:val="16"/>
              </w:rPr>
            </w:pPr>
          </w:p>
        </w:tc>
        <w:tc>
          <w:tcPr>
            <w:tcW w:w="3263" w:type="dxa"/>
            <w:vMerge w:val="restart"/>
            <w:shd w:val="clear" w:color="auto" w:fill="CCFFFF"/>
          </w:tcPr>
          <w:p w14:paraId="3080D0A6" w14:textId="77777777" w:rsidR="00AF493D" w:rsidRPr="003A0256" w:rsidRDefault="00AF493D" w:rsidP="00D570C5">
            <w:pPr>
              <w:rPr>
                <w:rFonts w:ascii="Arial" w:hAnsi="Arial" w:cs="Arial"/>
                <w:sz w:val="16"/>
                <w:szCs w:val="16"/>
              </w:rPr>
            </w:pPr>
            <w:r w:rsidRPr="003A0256">
              <w:rPr>
                <w:rFonts w:ascii="Arial" w:hAnsi="Arial" w:cs="Arial"/>
                <w:sz w:val="16"/>
                <w:szCs w:val="16"/>
              </w:rPr>
              <w:t>Output 1.2</w:t>
            </w:r>
          </w:p>
          <w:p w14:paraId="28750952" w14:textId="5F8402D8" w:rsidR="00416E90" w:rsidRPr="003A0256" w:rsidRDefault="00416E90" w:rsidP="00D570C5">
            <w:pPr>
              <w:rPr>
                <w:rFonts w:ascii="Arial" w:hAnsi="Arial" w:cs="Arial"/>
                <w:sz w:val="16"/>
                <w:szCs w:val="16"/>
              </w:rPr>
            </w:pPr>
            <w:r w:rsidRPr="003A0256">
              <w:rPr>
                <w:rFonts w:ascii="Arial" w:hAnsi="Arial" w:cs="Arial"/>
                <w:sz w:val="16"/>
                <w:szCs w:val="16"/>
              </w:rPr>
              <w:t xml:space="preserve">Trust in public institutions/service providers </w:t>
            </w:r>
            <w:r w:rsidR="008F57E4" w:rsidRPr="003A0256">
              <w:rPr>
                <w:rFonts w:ascii="Arial" w:hAnsi="Arial" w:cs="Arial"/>
                <w:sz w:val="16"/>
                <w:szCs w:val="16"/>
              </w:rPr>
              <w:t xml:space="preserve">and confidence in gaining employment opportunities </w:t>
            </w:r>
            <w:r w:rsidRPr="003A0256">
              <w:rPr>
                <w:rFonts w:ascii="Arial" w:hAnsi="Arial" w:cs="Arial"/>
                <w:sz w:val="16"/>
                <w:szCs w:val="16"/>
              </w:rPr>
              <w:t xml:space="preserve">has improved through direct engagement based on responsive, transparent and participatory interaction </w:t>
            </w:r>
          </w:p>
          <w:p w14:paraId="2CF35BEE" w14:textId="77777777" w:rsidR="00416E90" w:rsidRPr="003A0256" w:rsidRDefault="00416E90" w:rsidP="00D570C5">
            <w:pPr>
              <w:rPr>
                <w:rFonts w:ascii="Arial" w:hAnsi="Arial" w:cs="Arial"/>
                <w:sz w:val="16"/>
                <w:szCs w:val="16"/>
              </w:rPr>
            </w:pPr>
          </w:p>
          <w:p w14:paraId="0F1A8016" w14:textId="77777777" w:rsidR="00416E90" w:rsidRPr="003A0256" w:rsidRDefault="00416E90" w:rsidP="00D570C5">
            <w:pPr>
              <w:rPr>
                <w:rFonts w:ascii="Arial" w:hAnsi="Arial" w:cs="Arial"/>
                <w:sz w:val="16"/>
                <w:szCs w:val="16"/>
              </w:rPr>
            </w:pPr>
            <w:r w:rsidRPr="003A0256">
              <w:rPr>
                <w:rFonts w:ascii="Arial" w:hAnsi="Arial" w:cs="Arial"/>
                <w:sz w:val="16"/>
                <w:szCs w:val="16"/>
              </w:rPr>
              <w:t>List of activities under this Output:</w:t>
            </w:r>
          </w:p>
          <w:p w14:paraId="06B073D2" w14:textId="77777777" w:rsidR="00416E90" w:rsidRPr="003A0256" w:rsidRDefault="00416E90" w:rsidP="00D570C5">
            <w:pPr>
              <w:rPr>
                <w:rFonts w:ascii="Arial" w:hAnsi="Arial" w:cs="Arial"/>
                <w:sz w:val="16"/>
                <w:szCs w:val="16"/>
              </w:rPr>
            </w:pPr>
          </w:p>
          <w:p w14:paraId="3A57F460" w14:textId="0B111FA8" w:rsidR="00416E90" w:rsidRPr="003A0256" w:rsidRDefault="00BF5C04" w:rsidP="00D570C5">
            <w:pPr>
              <w:ind w:right="-7"/>
              <w:rPr>
                <w:rFonts w:ascii="Arial" w:hAnsi="Arial" w:cs="Arial"/>
                <w:iCs/>
                <w:sz w:val="16"/>
                <w:szCs w:val="16"/>
              </w:rPr>
            </w:pPr>
            <w:r w:rsidRPr="003A0256">
              <w:rPr>
                <w:rFonts w:ascii="Arial" w:hAnsi="Arial" w:cs="Arial"/>
                <w:iCs/>
                <w:sz w:val="16"/>
                <w:szCs w:val="16"/>
              </w:rPr>
              <w:t>1</w:t>
            </w:r>
            <w:r w:rsidR="00416E90" w:rsidRPr="003A0256">
              <w:rPr>
                <w:rFonts w:ascii="Arial" w:hAnsi="Arial" w:cs="Arial"/>
                <w:iCs/>
                <w:sz w:val="16"/>
                <w:szCs w:val="16"/>
              </w:rPr>
              <w:t>.</w:t>
            </w:r>
            <w:r w:rsidRPr="003A0256">
              <w:rPr>
                <w:rFonts w:ascii="Arial" w:hAnsi="Arial" w:cs="Arial"/>
                <w:iCs/>
                <w:sz w:val="16"/>
                <w:szCs w:val="16"/>
              </w:rPr>
              <w:t>2.</w:t>
            </w:r>
            <w:r w:rsidR="00416E90" w:rsidRPr="003A0256">
              <w:rPr>
                <w:rFonts w:ascii="Arial" w:hAnsi="Arial" w:cs="Arial"/>
                <w:iCs/>
                <w:sz w:val="16"/>
                <w:szCs w:val="16"/>
              </w:rPr>
              <w:t>1. Deploy 40 UN Community Volunteers with local government institutions with aim to equip youth with meaningful community engagement experience contributing to increased trust between youth and local government. (UNDP-UNV)</w:t>
            </w:r>
          </w:p>
          <w:p w14:paraId="3B4BA056" w14:textId="77777777" w:rsidR="00416E90" w:rsidRPr="003A0256" w:rsidRDefault="00416E90" w:rsidP="00D570C5">
            <w:pPr>
              <w:ind w:right="-7"/>
              <w:rPr>
                <w:rFonts w:ascii="Arial" w:hAnsi="Arial" w:cs="Arial"/>
                <w:iCs/>
                <w:sz w:val="16"/>
                <w:szCs w:val="16"/>
              </w:rPr>
            </w:pPr>
          </w:p>
          <w:p w14:paraId="5B46E818" w14:textId="7A0E9AB6" w:rsidR="00416E90" w:rsidRPr="003A0256" w:rsidRDefault="00BF5C04" w:rsidP="00D570C5">
            <w:pPr>
              <w:ind w:right="-7"/>
              <w:rPr>
                <w:rFonts w:ascii="Arial" w:hAnsi="Arial" w:cs="Arial"/>
                <w:iCs/>
                <w:sz w:val="16"/>
                <w:szCs w:val="16"/>
              </w:rPr>
            </w:pPr>
            <w:r w:rsidRPr="003A0256">
              <w:rPr>
                <w:rFonts w:ascii="Arial" w:hAnsi="Arial" w:cs="Arial"/>
                <w:iCs/>
                <w:sz w:val="16"/>
                <w:szCs w:val="16"/>
              </w:rPr>
              <w:t>1.2</w:t>
            </w:r>
            <w:r w:rsidR="00416E90" w:rsidRPr="003A0256">
              <w:rPr>
                <w:rFonts w:ascii="Arial" w:hAnsi="Arial" w:cs="Arial"/>
                <w:iCs/>
                <w:sz w:val="16"/>
                <w:szCs w:val="16"/>
              </w:rPr>
              <w:t>.2</w:t>
            </w:r>
            <w:r w:rsidRPr="003A0256">
              <w:rPr>
                <w:rFonts w:ascii="Arial" w:hAnsi="Arial" w:cs="Arial"/>
                <w:iCs/>
                <w:sz w:val="16"/>
                <w:szCs w:val="16"/>
              </w:rPr>
              <w:t>.</w:t>
            </w:r>
            <w:r w:rsidR="00416E90" w:rsidRPr="003A0256">
              <w:rPr>
                <w:rFonts w:ascii="Arial" w:hAnsi="Arial" w:cs="Arial"/>
                <w:iCs/>
                <w:sz w:val="16"/>
                <w:szCs w:val="16"/>
              </w:rPr>
              <w:t xml:space="preserve"> Organize municipality-level youth exchanges through UN Community Volunteers modality to encourage cultural tolerance, diversity, and exchange of ideas. (UNDP-UNV)</w:t>
            </w:r>
          </w:p>
          <w:p w14:paraId="58D14306" w14:textId="5F52CD7F" w:rsidR="00A02C7A" w:rsidRPr="003A0256" w:rsidRDefault="00A02C7A" w:rsidP="00D570C5">
            <w:pPr>
              <w:rPr>
                <w:rFonts w:ascii="Arial" w:hAnsi="Arial" w:cs="Arial"/>
                <w:sz w:val="16"/>
                <w:szCs w:val="16"/>
              </w:rPr>
            </w:pPr>
          </w:p>
          <w:p w14:paraId="06A25B34" w14:textId="1ADFE4EB" w:rsidR="00416E90" w:rsidRPr="003A0256" w:rsidRDefault="00BF5C04" w:rsidP="00D570C5">
            <w:pPr>
              <w:rPr>
                <w:rFonts w:ascii="Arial" w:hAnsi="Arial" w:cs="Arial"/>
                <w:sz w:val="16"/>
                <w:szCs w:val="16"/>
              </w:rPr>
            </w:pPr>
            <w:r w:rsidRPr="003A0256">
              <w:rPr>
                <w:rFonts w:ascii="Arial" w:hAnsi="Arial" w:cs="Arial"/>
                <w:sz w:val="16"/>
                <w:szCs w:val="16"/>
              </w:rPr>
              <w:lastRenderedPageBreak/>
              <w:t>1.2.3.</w:t>
            </w:r>
            <w:r w:rsidR="00416E90" w:rsidRPr="003A0256">
              <w:rPr>
                <w:rFonts w:ascii="Arial" w:hAnsi="Arial" w:cs="Arial"/>
                <w:sz w:val="16"/>
                <w:szCs w:val="16"/>
              </w:rPr>
              <w:t xml:space="preserve"> </w:t>
            </w:r>
            <w:r w:rsidR="00803A9C" w:rsidRPr="003A0256">
              <w:rPr>
                <w:rFonts w:ascii="Arial" w:hAnsi="Arial" w:cs="Arial"/>
                <w:sz w:val="16"/>
                <w:szCs w:val="16"/>
              </w:rPr>
              <w:t>Deliver skills development, employment, and self-employment opportunities</w:t>
            </w:r>
            <w:r w:rsidR="00BE1458" w:rsidRPr="003A0256">
              <w:rPr>
                <w:rFonts w:ascii="Arial" w:hAnsi="Arial" w:cs="Arial"/>
                <w:sz w:val="16"/>
                <w:szCs w:val="16"/>
              </w:rPr>
              <w:t xml:space="preserve"> for </w:t>
            </w:r>
            <w:r w:rsidR="002D5123" w:rsidRPr="003A0256">
              <w:rPr>
                <w:rFonts w:ascii="Arial" w:hAnsi="Arial" w:cs="Arial"/>
                <w:sz w:val="16"/>
                <w:szCs w:val="16"/>
              </w:rPr>
              <w:t xml:space="preserve">150 </w:t>
            </w:r>
            <w:r w:rsidR="00BE1458" w:rsidRPr="003A0256">
              <w:rPr>
                <w:rFonts w:ascii="Arial" w:hAnsi="Arial" w:cs="Arial"/>
                <w:sz w:val="16"/>
                <w:szCs w:val="16"/>
              </w:rPr>
              <w:t>youth</w:t>
            </w:r>
            <w:r w:rsidR="00803A9C" w:rsidRPr="003A0256">
              <w:rPr>
                <w:rFonts w:ascii="Arial" w:hAnsi="Arial" w:cs="Arial"/>
                <w:sz w:val="16"/>
                <w:szCs w:val="16"/>
              </w:rPr>
              <w:t xml:space="preserve"> </w:t>
            </w:r>
            <w:r w:rsidR="00E30491" w:rsidRPr="003A0256">
              <w:rPr>
                <w:rFonts w:ascii="Arial" w:hAnsi="Arial" w:cs="Arial"/>
                <w:sz w:val="16"/>
                <w:szCs w:val="16"/>
              </w:rPr>
              <w:t>through</w:t>
            </w:r>
            <w:r w:rsidR="00803A9C" w:rsidRPr="003A0256">
              <w:rPr>
                <w:rFonts w:ascii="Arial" w:hAnsi="Arial" w:cs="Arial"/>
                <w:sz w:val="16"/>
                <w:szCs w:val="16"/>
              </w:rPr>
              <w:t xml:space="preserve"> local employment offices, municipal departments, and the private sector</w:t>
            </w:r>
            <w:r w:rsidR="00477658" w:rsidRPr="003A0256">
              <w:rPr>
                <w:rFonts w:ascii="Arial" w:hAnsi="Arial" w:cs="Arial"/>
                <w:sz w:val="16"/>
                <w:szCs w:val="16"/>
              </w:rPr>
              <w:t xml:space="preserve">, including </w:t>
            </w:r>
            <w:r w:rsidR="00F22033" w:rsidRPr="003A0256">
              <w:rPr>
                <w:rFonts w:ascii="Arial" w:hAnsi="Arial" w:cs="Arial"/>
                <w:sz w:val="16"/>
                <w:szCs w:val="16"/>
              </w:rPr>
              <w:t>strengthening of delivery of this public service</w:t>
            </w:r>
            <w:r w:rsidR="00803A9C" w:rsidRPr="003A0256">
              <w:rPr>
                <w:rFonts w:ascii="Arial" w:hAnsi="Arial" w:cs="Arial"/>
                <w:sz w:val="16"/>
                <w:szCs w:val="16"/>
              </w:rPr>
              <w:t>. (UNDP</w:t>
            </w:r>
            <w:r w:rsidR="00204FF6" w:rsidRPr="003A0256">
              <w:rPr>
                <w:rFonts w:ascii="Arial" w:hAnsi="Arial" w:cs="Arial"/>
                <w:sz w:val="16"/>
                <w:szCs w:val="16"/>
              </w:rPr>
              <w:t>-UNV</w:t>
            </w:r>
            <w:r w:rsidR="00803A9C" w:rsidRPr="003A0256">
              <w:rPr>
                <w:rFonts w:ascii="Arial" w:hAnsi="Arial" w:cs="Arial"/>
                <w:sz w:val="16"/>
                <w:szCs w:val="16"/>
              </w:rPr>
              <w:t>)</w:t>
            </w:r>
          </w:p>
          <w:p w14:paraId="4B50435D" w14:textId="61351C47" w:rsidR="00BE1458" w:rsidRPr="003A0256" w:rsidRDefault="00BE1458" w:rsidP="00D570C5">
            <w:pPr>
              <w:rPr>
                <w:rFonts w:ascii="Arial" w:hAnsi="Arial" w:cs="Arial"/>
                <w:sz w:val="16"/>
                <w:szCs w:val="16"/>
              </w:rPr>
            </w:pPr>
          </w:p>
          <w:p w14:paraId="4D8AB34C" w14:textId="2644B099" w:rsidR="00BE1458" w:rsidRPr="003A0256" w:rsidRDefault="00BF5C04" w:rsidP="00D570C5">
            <w:pPr>
              <w:rPr>
                <w:rFonts w:ascii="Arial" w:hAnsi="Arial" w:cs="Arial"/>
                <w:sz w:val="16"/>
                <w:szCs w:val="16"/>
              </w:rPr>
            </w:pPr>
            <w:r w:rsidRPr="003A0256">
              <w:rPr>
                <w:rFonts w:ascii="Arial" w:hAnsi="Arial" w:cs="Arial"/>
                <w:sz w:val="16"/>
                <w:szCs w:val="16"/>
              </w:rPr>
              <w:t>1.2.4</w:t>
            </w:r>
            <w:r w:rsidR="00BE1458" w:rsidRPr="003A0256">
              <w:rPr>
                <w:rFonts w:ascii="Arial" w:hAnsi="Arial" w:cs="Arial"/>
                <w:sz w:val="16"/>
                <w:szCs w:val="16"/>
              </w:rPr>
              <w:t xml:space="preserve"> </w:t>
            </w:r>
            <w:r w:rsidR="00C9324E" w:rsidRPr="003A0256">
              <w:rPr>
                <w:rFonts w:ascii="Arial" w:hAnsi="Arial" w:cs="Arial"/>
                <w:sz w:val="16"/>
                <w:szCs w:val="16"/>
              </w:rPr>
              <w:t xml:space="preserve">Implement </w:t>
            </w:r>
            <w:r w:rsidR="00DD1DF5" w:rsidRPr="003A0256">
              <w:rPr>
                <w:rFonts w:ascii="Arial" w:hAnsi="Arial" w:cs="Arial"/>
                <w:sz w:val="16"/>
                <w:szCs w:val="16"/>
              </w:rPr>
              <w:t>innovative awareness raising campaigns to promote initiatives responding to issues of shared concern</w:t>
            </w:r>
            <w:r w:rsidR="007C604D" w:rsidRPr="003A0256">
              <w:rPr>
                <w:rFonts w:ascii="Arial" w:hAnsi="Arial" w:cs="Arial"/>
                <w:sz w:val="16"/>
                <w:szCs w:val="16"/>
              </w:rPr>
              <w:t xml:space="preserve"> (UNDP-UNV)</w:t>
            </w:r>
          </w:p>
          <w:p w14:paraId="30702FF2" w14:textId="5AEC1986" w:rsidR="00803A9C" w:rsidRPr="003A0256" w:rsidRDefault="00803A9C" w:rsidP="00D570C5">
            <w:pPr>
              <w:rPr>
                <w:rFonts w:ascii="Arial" w:hAnsi="Arial" w:cs="Arial"/>
                <w:sz w:val="16"/>
                <w:szCs w:val="16"/>
              </w:rPr>
            </w:pPr>
          </w:p>
          <w:p w14:paraId="2E9C15E1" w14:textId="0B65AE75" w:rsidR="00803A9C" w:rsidRPr="003A0256" w:rsidRDefault="00BF5C04" w:rsidP="00D570C5">
            <w:pPr>
              <w:rPr>
                <w:rFonts w:ascii="Arial" w:hAnsi="Arial" w:cs="Arial"/>
                <w:sz w:val="16"/>
                <w:szCs w:val="16"/>
              </w:rPr>
            </w:pPr>
            <w:r w:rsidRPr="003A0256">
              <w:rPr>
                <w:rFonts w:ascii="Arial" w:hAnsi="Arial" w:cs="Arial"/>
                <w:sz w:val="16"/>
                <w:szCs w:val="16"/>
              </w:rPr>
              <w:t>1.2.5</w:t>
            </w:r>
            <w:r w:rsidR="00803A9C" w:rsidRPr="003A0256">
              <w:rPr>
                <w:rFonts w:ascii="Arial" w:hAnsi="Arial" w:cs="Arial"/>
                <w:sz w:val="16"/>
                <w:szCs w:val="16"/>
              </w:rPr>
              <w:t xml:space="preserve">. Deploy a monitoring framework </w:t>
            </w:r>
            <w:r w:rsidR="002A40A8" w:rsidRPr="003A0256">
              <w:rPr>
                <w:rFonts w:ascii="Arial" w:hAnsi="Arial" w:cs="Arial"/>
                <w:sz w:val="16"/>
                <w:szCs w:val="16"/>
              </w:rPr>
              <w:t>utilizing</w:t>
            </w:r>
            <w:r w:rsidR="002A40A8" w:rsidRPr="003A0256">
              <w:t xml:space="preserve"> </w:t>
            </w:r>
            <w:r w:rsidR="002A40A8" w:rsidRPr="003A0256">
              <w:rPr>
                <w:rFonts w:ascii="Arial" w:hAnsi="Arial" w:cs="Arial"/>
                <w:sz w:val="16"/>
                <w:szCs w:val="16"/>
              </w:rPr>
              <w:t>individual case files, entry and exit interviews</w:t>
            </w:r>
            <w:r w:rsidR="00BE1458" w:rsidRPr="003A0256">
              <w:rPr>
                <w:rFonts w:ascii="Arial" w:hAnsi="Arial" w:cs="Arial"/>
                <w:sz w:val="16"/>
                <w:szCs w:val="16"/>
              </w:rPr>
              <w:t xml:space="preserve"> with participants</w:t>
            </w:r>
            <w:r w:rsidR="002A40A8" w:rsidRPr="003A0256">
              <w:rPr>
                <w:rFonts w:ascii="Arial" w:hAnsi="Arial" w:cs="Arial"/>
                <w:sz w:val="16"/>
                <w:szCs w:val="16"/>
              </w:rPr>
              <w:t xml:space="preserve">, </w:t>
            </w:r>
            <w:r w:rsidR="00BE1458" w:rsidRPr="003A0256">
              <w:rPr>
                <w:rFonts w:ascii="Arial" w:hAnsi="Arial" w:cs="Arial"/>
                <w:sz w:val="16"/>
                <w:szCs w:val="16"/>
              </w:rPr>
              <w:t>micronarratives. (UNDP-UNV)</w:t>
            </w:r>
          </w:p>
          <w:p w14:paraId="335DD336" w14:textId="6ADB1D1A" w:rsidR="00A02C7A" w:rsidRPr="003A0256" w:rsidRDefault="00A02C7A" w:rsidP="00D570C5">
            <w:pPr>
              <w:rPr>
                <w:rFonts w:ascii="Arial" w:hAnsi="Arial" w:cs="Arial"/>
                <w:sz w:val="16"/>
                <w:szCs w:val="16"/>
              </w:rPr>
            </w:pPr>
          </w:p>
        </w:tc>
        <w:tc>
          <w:tcPr>
            <w:tcW w:w="3780" w:type="dxa"/>
            <w:shd w:val="clear" w:color="auto" w:fill="CCFFFF"/>
          </w:tcPr>
          <w:p w14:paraId="1250C4EE" w14:textId="6ACD7E5B" w:rsidR="00AF493D" w:rsidRDefault="00AF493D" w:rsidP="00D570C5">
            <w:pPr>
              <w:rPr>
                <w:rFonts w:ascii="Arial" w:hAnsi="Arial" w:cs="Arial"/>
                <w:sz w:val="16"/>
                <w:szCs w:val="16"/>
              </w:rPr>
            </w:pPr>
            <w:r w:rsidRPr="00F71698">
              <w:rPr>
                <w:rFonts w:ascii="Arial" w:hAnsi="Arial" w:cs="Arial"/>
                <w:sz w:val="16"/>
                <w:szCs w:val="16"/>
              </w:rPr>
              <w:lastRenderedPageBreak/>
              <w:t>Output Indicator 1.2.1</w:t>
            </w:r>
          </w:p>
          <w:p w14:paraId="68755CAC" w14:textId="2EFA8635" w:rsidR="003D3621" w:rsidRDefault="005A0217" w:rsidP="00D570C5">
            <w:pPr>
              <w:rPr>
                <w:rFonts w:ascii="Arial" w:hAnsi="Arial" w:cs="Arial"/>
                <w:sz w:val="16"/>
                <w:szCs w:val="16"/>
              </w:rPr>
            </w:pPr>
            <w:r w:rsidRPr="000D4EA4">
              <w:rPr>
                <w:rFonts w:ascii="Arial" w:hAnsi="Arial" w:cs="Arial"/>
                <w:sz w:val="16"/>
                <w:szCs w:val="16"/>
              </w:rPr>
              <w:t>Number of youth engaged in communities in targeted localities through the UN Community Volunteers modality</w:t>
            </w:r>
          </w:p>
          <w:p w14:paraId="5BFB6071" w14:textId="77777777" w:rsidR="005A0217" w:rsidRPr="00F71698" w:rsidRDefault="005A0217" w:rsidP="00D570C5">
            <w:pPr>
              <w:rPr>
                <w:rFonts w:ascii="Arial" w:hAnsi="Arial" w:cs="Arial"/>
                <w:sz w:val="16"/>
                <w:szCs w:val="16"/>
              </w:rPr>
            </w:pPr>
          </w:p>
          <w:p w14:paraId="39671283" w14:textId="69A03482" w:rsidR="003D3621" w:rsidRDefault="00AF493D" w:rsidP="00D570C5">
            <w:pPr>
              <w:rPr>
                <w:rFonts w:ascii="Arial" w:hAnsi="Arial" w:cs="Arial"/>
                <w:sz w:val="16"/>
                <w:szCs w:val="16"/>
              </w:rPr>
            </w:pPr>
            <w:r w:rsidRPr="00F71698">
              <w:rPr>
                <w:rFonts w:ascii="Arial" w:hAnsi="Arial" w:cs="Arial"/>
                <w:sz w:val="16"/>
                <w:szCs w:val="16"/>
              </w:rPr>
              <w:t>Baseline:</w:t>
            </w:r>
            <w:r w:rsidR="003D3621">
              <w:rPr>
                <w:rFonts w:ascii="Arial" w:hAnsi="Arial" w:cs="Arial"/>
                <w:sz w:val="16"/>
                <w:szCs w:val="16"/>
              </w:rPr>
              <w:t xml:space="preserve"> </w:t>
            </w:r>
            <w:r w:rsidR="005A0217" w:rsidRPr="000D4EA4">
              <w:rPr>
                <w:rFonts w:ascii="Arial" w:hAnsi="Arial" w:cs="Arial"/>
                <w:sz w:val="16"/>
                <w:szCs w:val="16"/>
              </w:rPr>
              <w:t>0</w:t>
            </w:r>
          </w:p>
          <w:p w14:paraId="6AED307B" w14:textId="5DEEA1D6" w:rsidR="00AF493D" w:rsidRPr="00F71698" w:rsidRDefault="00AF493D" w:rsidP="00D570C5">
            <w:pPr>
              <w:rPr>
                <w:rFonts w:ascii="Arial" w:hAnsi="Arial" w:cs="Arial"/>
                <w:sz w:val="16"/>
                <w:szCs w:val="16"/>
              </w:rPr>
            </w:pPr>
            <w:r w:rsidRPr="00F71698">
              <w:rPr>
                <w:rFonts w:ascii="Arial" w:hAnsi="Arial" w:cs="Arial"/>
                <w:sz w:val="16"/>
                <w:szCs w:val="16"/>
              </w:rPr>
              <w:t>Target:</w:t>
            </w:r>
            <w:r w:rsidR="005A0217">
              <w:rPr>
                <w:rFonts w:ascii="Arial" w:hAnsi="Arial" w:cs="Arial"/>
                <w:sz w:val="16"/>
                <w:szCs w:val="16"/>
              </w:rPr>
              <w:t xml:space="preserve"> </w:t>
            </w:r>
            <w:r w:rsidR="005A0217" w:rsidRPr="000D4EA4">
              <w:rPr>
                <w:rFonts w:ascii="Arial" w:hAnsi="Arial" w:cs="Arial"/>
                <w:sz w:val="16"/>
                <w:szCs w:val="16"/>
              </w:rPr>
              <w:t>60 youth (50% women)</w:t>
            </w:r>
          </w:p>
          <w:p w14:paraId="2869DCB7" w14:textId="77777777" w:rsidR="00AF493D" w:rsidRPr="00F71698" w:rsidRDefault="00AF493D" w:rsidP="00D570C5">
            <w:pPr>
              <w:rPr>
                <w:rFonts w:ascii="Arial" w:hAnsi="Arial" w:cs="Arial"/>
                <w:sz w:val="16"/>
                <w:szCs w:val="16"/>
              </w:rPr>
            </w:pPr>
          </w:p>
        </w:tc>
        <w:tc>
          <w:tcPr>
            <w:tcW w:w="1800" w:type="dxa"/>
            <w:shd w:val="clear" w:color="auto" w:fill="CCFFFF"/>
          </w:tcPr>
          <w:p w14:paraId="0045200B" w14:textId="4475E889" w:rsidR="00AF493D" w:rsidRPr="00F71698" w:rsidRDefault="005A0217" w:rsidP="00D570C5">
            <w:pPr>
              <w:rPr>
                <w:rFonts w:ascii="Arial" w:hAnsi="Arial" w:cs="Arial"/>
                <w:sz w:val="16"/>
                <w:szCs w:val="16"/>
              </w:rPr>
            </w:pPr>
            <w:r w:rsidRPr="000D4EA4">
              <w:rPr>
                <w:rFonts w:ascii="Arial" w:hAnsi="Arial" w:cs="Arial"/>
                <w:sz w:val="16"/>
                <w:szCs w:val="16"/>
              </w:rPr>
              <w:t>Project / UNV records, UNV BI data, Volunteer Reporting Application, Monitoring Records</w:t>
            </w:r>
          </w:p>
        </w:tc>
        <w:tc>
          <w:tcPr>
            <w:tcW w:w="2857" w:type="dxa"/>
            <w:shd w:val="clear" w:color="auto" w:fill="CCFFFF"/>
          </w:tcPr>
          <w:p w14:paraId="1B934D24" w14:textId="77777777" w:rsidR="005A0217" w:rsidRDefault="005A0217" w:rsidP="00D570C5">
            <w:pPr>
              <w:rPr>
                <w:rFonts w:ascii="Arial" w:hAnsi="Arial" w:cs="Arial"/>
                <w:sz w:val="16"/>
                <w:szCs w:val="16"/>
              </w:rPr>
            </w:pPr>
            <w:r w:rsidRPr="000D4EA4">
              <w:rPr>
                <w:rFonts w:ascii="Arial" w:hAnsi="Arial" w:cs="Arial"/>
                <w:sz w:val="16"/>
                <w:szCs w:val="16"/>
              </w:rPr>
              <w:t>After 12 months: 40 (50% wo</w:t>
            </w:r>
            <w:r>
              <w:rPr>
                <w:rFonts w:ascii="Arial" w:hAnsi="Arial" w:cs="Arial"/>
                <w:sz w:val="16"/>
                <w:szCs w:val="16"/>
              </w:rPr>
              <w:t>men) deployed</w:t>
            </w:r>
          </w:p>
          <w:p w14:paraId="76EAE503" w14:textId="7D030E8E" w:rsidR="00AF493D" w:rsidRPr="00F71698" w:rsidRDefault="005A0217" w:rsidP="00D570C5">
            <w:pPr>
              <w:rPr>
                <w:rFonts w:ascii="Arial" w:hAnsi="Arial" w:cs="Arial"/>
                <w:sz w:val="16"/>
                <w:szCs w:val="16"/>
              </w:rPr>
            </w:pPr>
            <w:r>
              <w:rPr>
                <w:rFonts w:ascii="Arial" w:hAnsi="Arial" w:cs="Arial"/>
                <w:sz w:val="16"/>
                <w:szCs w:val="16"/>
              </w:rPr>
              <w:t>B</w:t>
            </w:r>
            <w:r w:rsidRPr="000D4EA4">
              <w:rPr>
                <w:rFonts w:ascii="Arial" w:hAnsi="Arial" w:cs="Arial"/>
                <w:sz w:val="16"/>
                <w:szCs w:val="16"/>
              </w:rPr>
              <w:t>y the end of the project: 60 youth (50% women) deployed</w:t>
            </w:r>
          </w:p>
        </w:tc>
      </w:tr>
      <w:tr w:rsidR="00AF493D" w:rsidRPr="00F71698" w14:paraId="1CEC7CFB" w14:textId="77777777" w:rsidTr="0060118A">
        <w:tc>
          <w:tcPr>
            <w:tcW w:w="2425" w:type="dxa"/>
            <w:vMerge/>
            <w:shd w:val="clear" w:color="auto" w:fill="FFFF99"/>
          </w:tcPr>
          <w:p w14:paraId="13B0E431" w14:textId="77777777" w:rsidR="00AF493D" w:rsidRPr="00F71698" w:rsidRDefault="00AF493D" w:rsidP="00D570C5">
            <w:pPr>
              <w:rPr>
                <w:rFonts w:ascii="Arial" w:hAnsi="Arial" w:cs="Arial"/>
                <w:sz w:val="16"/>
                <w:szCs w:val="16"/>
              </w:rPr>
            </w:pPr>
          </w:p>
        </w:tc>
        <w:tc>
          <w:tcPr>
            <w:tcW w:w="3263" w:type="dxa"/>
            <w:vMerge/>
            <w:shd w:val="clear" w:color="auto" w:fill="CCFFFF"/>
          </w:tcPr>
          <w:p w14:paraId="042EE2A7" w14:textId="77777777" w:rsidR="00AF493D" w:rsidRPr="00F71698" w:rsidRDefault="00AF493D" w:rsidP="00D570C5">
            <w:pPr>
              <w:rPr>
                <w:rFonts w:ascii="Arial" w:hAnsi="Arial" w:cs="Arial"/>
                <w:sz w:val="16"/>
                <w:szCs w:val="16"/>
              </w:rPr>
            </w:pPr>
          </w:p>
        </w:tc>
        <w:tc>
          <w:tcPr>
            <w:tcW w:w="3780" w:type="dxa"/>
            <w:tcBorders>
              <w:bottom w:val="single" w:sz="4" w:space="0" w:color="auto"/>
            </w:tcBorders>
            <w:shd w:val="clear" w:color="auto" w:fill="CCFFFF"/>
          </w:tcPr>
          <w:p w14:paraId="15B9D2A6" w14:textId="77777777" w:rsidR="00AF493D" w:rsidRPr="00F71698" w:rsidRDefault="00AF493D" w:rsidP="00D570C5">
            <w:pPr>
              <w:rPr>
                <w:rFonts w:ascii="Arial" w:hAnsi="Arial" w:cs="Arial"/>
                <w:sz w:val="16"/>
                <w:szCs w:val="16"/>
              </w:rPr>
            </w:pPr>
            <w:r w:rsidRPr="00F71698">
              <w:rPr>
                <w:rFonts w:ascii="Arial" w:hAnsi="Arial" w:cs="Arial"/>
                <w:sz w:val="16"/>
                <w:szCs w:val="16"/>
              </w:rPr>
              <w:t>Output Indicator 1.2.2</w:t>
            </w:r>
          </w:p>
          <w:p w14:paraId="66548F6C" w14:textId="77777777" w:rsidR="003F3D2D" w:rsidRPr="000D4EA4" w:rsidRDefault="003F3D2D" w:rsidP="003F3D2D">
            <w:pPr>
              <w:rPr>
                <w:rFonts w:ascii="Arial" w:hAnsi="Arial" w:cs="Arial"/>
                <w:sz w:val="16"/>
                <w:szCs w:val="16"/>
              </w:rPr>
            </w:pPr>
            <w:r w:rsidRPr="000D4EA4">
              <w:rPr>
                <w:rFonts w:ascii="Arial" w:hAnsi="Arial" w:cs="Arial"/>
                <w:sz w:val="16"/>
                <w:szCs w:val="16"/>
              </w:rPr>
              <w:t>Number of youth in target localities having developed near-market skills and employment/self-employment experience in collaboration with local public service providers</w:t>
            </w:r>
          </w:p>
          <w:p w14:paraId="65249FE3" w14:textId="77777777" w:rsidR="005A0217" w:rsidRPr="00F71698" w:rsidRDefault="005A0217" w:rsidP="00D570C5">
            <w:pPr>
              <w:rPr>
                <w:rFonts w:ascii="Arial" w:hAnsi="Arial" w:cs="Arial"/>
                <w:sz w:val="16"/>
                <w:szCs w:val="16"/>
              </w:rPr>
            </w:pPr>
          </w:p>
          <w:p w14:paraId="22D323D9" w14:textId="512C4148" w:rsidR="003F3D2D" w:rsidRDefault="00AF493D" w:rsidP="00D570C5">
            <w:pPr>
              <w:rPr>
                <w:rFonts w:ascii="Arial" w:hAnsi="Arial" w:cs="Arial"/>
                <w:sz w:val="16"/>
                <w:szCs w:val="16"/>
              </w:rPr>
            </w:pPr>
            <w:r w:rsidRPr="00F71698">
              <w:rPr>
                <w:rFonts w:ascii="Arial" w:hAnsi="Arial" w:cs="Arial"/>
                <w:sz w:val="16"/>
                <w:szCs w:val="16"/>
              </w:rPr>
              <w:t>Baseline:</w:t>
            </w:r>
            <w:r w:rsidR="003F3D2D">
              <w:rPr>
                <w:rFonts w:ascii="Arial" w:hAnsi="Arial" w:cs="Arial"/>
                <w:sz w:val="16"/>
                <w:szCs w:val="16"/>
              </w:rPr>
              <w:t xml:space="preserve"> </w:t>
            </w:r>
            <w:r w:rsidR="00EA4602" w:rsidRPr="000D4EA4">
              <w:rPr>
                <w:rFonts w:ascii="Arial" w:hAnsi="Arial" w:cs="Arial"/>
                <w:sz w:val="16"/>
                <w:szCs w:val="16"/>
              </w:rPr>
              <w:t>714</w:t>
            </w:r>
            <w:r w:rsidR="00EA4602">
              <w:rPr>
                <w:rFonts w:ascii="Arial" w:hAnsi="Arial" w:cs="Arial"/>
                <w:sz w:val="16"/>
                <w:szCs w:val="16"/>
              </w:rPr>
              <w:t xml:space="preserve"> youth</w:t>
            </w:r>
            <w:r w:rsidR="00EA4602" w:rsidRPr="000D4EA4">
              <w:rPr>
                <w:rFonts w:ascii="Arial" w:hAnsi="Arial" w:cs="Arial"/>
                <w:sz w:val="16"/>
                <w:szCs w:val="16"/>
              </w:rPr>
              <w:t xml:space="preserve"> (410 (54%) men, 300 (46%) women) </w:t>
            </w:r>
            <w:r w:rsidR="00EA4602">
              <w:rPr>
                <w:rFonts w:ascii="Arial" w:hAnsi="Arial" w:cs="Arial"/>
                <w:sz w:val="16"/>
                <w:szCs w:val="16"/>
              </w:rPr>
              <w:t>since 2015</w:t>
            </w:r>
          </w:p>
          <w:p w14:paraId="45140444" w14:textId="29D14B90" w:rsidR="00AF493D" w:rsidRPr="00F71698" w:rsidRDefault="00AF493D" w:rsidP="00D570C5">
            <w:pPr>
              <w:rPr>
                <w:rFonts w:ascii="Arial" w:hAnsi="Arial" w:cs="Arial"/>
                <w:sz w:val="16"/>
                <w:szCs w:val="16"/>
              </w:rPr>
            </w:pPr>
            <w:r w:rsidRPr="00F71698">
              <w:rPr>
                <w:rFonts w:ascii="Arial" w:hAnsi="Arial" w:cs="Arial"/>
                <w:sz w:val="16"/>
                <w:szCs w:val="16"/>
              </w:rPr>
              <w:t>Target:</w:t>
            </w:r>
            <w:r w:rsidR="003F3D2D">
              <w:rPr>
                <w:rFonts w:ascii="Arial" w:hAnsi="Arial" w:cs="Arial"/>
                <w:sz w:val="16"/>
                <w:szCs w:val="16"/>
              </w:rPr>
              <w:t xml:space="preserve"> </w:t>
            </w:r>
            <w:r w:rsidR="003F3D2D" w:rsidRPr="000D4EA4">
              <w:rPr>
                <w:rFonts w:ascii="Arial" w:hAnsi="Arial" w:cs="Arial"/>
                <w:sz w:val="16"/>
                <w:szCs w:val="16"/>
              </w:rPr>
              <w:t>Additional 150 youth (40% women)</w:t>
            </w:r>
          </w:p>
          <w:p w14:paraId="2BF49087" w14:textId="77777777" w:rsidR="00AF493D" w:rsidRPr="00F71698" w:rsidRDefault="00AF493D" w:rsidP="00D570C5">
            <w:pPr>
              <w:rPr>
                <w:rFonts w:ascii="Arial" w:hAnsi="Arial" w:cs="Arial"/>
                <w:sz w:val="16"/>
                <w:szCs w:val="16"/>
              </w:rPr>
            </w:pPr>
          </w:p>
        </w:tc>
        <w:tc>
          <w:tcPr>
            <w:tcW w:w="1800" w:type="dxa"/>
            <w:tcBorders>
              <w:bottom w:val="single" w:sz="4" w:space="0" w:color="auto"/>
            </w:tcBorders>
            <w:shd w:val="clear" w:color="auto" w:fill="CCFFFF"/>
          </w:tcPr>
          <w:p w14:paraId="402D793D" w14:textId="77777777" w:rsidR="003F3D2D" w:rsidRPr="000D4EA4" w:rsidRDefault="003F3D2D" w:rsidP="003F3D2D">
            <w:pPr>
              <w:rPr>
                <w:rFonts w:ascii="Arial" w:hAnsi="Arial" w:cs="Arial"/>
                <w:sz w:val="16"/>
                <w:szCs w:val="16"/>
              </w:rPr>
            </w:pPr>
            <w:r w:rsidRPr="000D4EA4">
              <w:rPr>
                <w:rFonts w:ascii="Arial" w:hAnsi="Arial" w:cs="Arial"/>
                <w:sz w:val="16"/>
                <w:szCs w:val="16"/>
              </w:rPr>
              <w:t>Project records, Employment Management Information System of the Employment Agency, Monitoring records, Field spot visits.</w:t>
            </w:r>
          </w:p>
          <w:p w14:paraId="60594D21" w14:textId="77777777" w:rsidR="00AF493D" w:rsidRPr="00F71698" w:rsidRDefault="00AF493D" w:rsidP="00D570C5">
            <w:pPr>
              <w:rPr>
                <w:rFonts w:ascii="Arial" w:hAnsi="Arial" w:cs="Arial"/>
                <w:sz w:val="16"/>
                <w:szCs w:val="16"/>
              </w:rPr>
            </w:pPr>
          </w:p>
        </w:tc>
        <w:tc>
          <w:tcPr>
            <w:tcW w:w="2857" w:type="dxa"/>
            <w:tcBorders>
              <w:bottom w:val="single" w:sz="4" w:space="0" w:color="auto"/>
            </w:tcBorders>
            <w:shd w:val="clear" w:color="auto" w:fill="CCFFFF"/>
          </w:tcPr>
          <w:p w14:paraId="24F0C11C" w14:textId="4F6A1464" w:rsidR="003F3D2D" w:rsidRDefault="003F3D2D" w:rsidP="003F3D2D">
            <w:pPr>
              <w:rPr>
                <w:rFonts w:ascii="Arial" w:hAnsi="Arial" w:cs="Arial"/>
                <w:sz w:val="16"/>
                <w:szCs w:val="16"/>
              </w:rPr>
            </w:pPr>
            <w:r w:rsidRPr="000D4EA4">
              <w:rPr>
                <w:rFonts w:ascii="Arial" w:hAnsi="Arial" w:cs="Arial"/>
                <w:sz w:val="16"/>
                <w:szCs w:val="16"/>
              </w:rPr>
              <w:t xml:space="preserve">After 12 months: additional </w:t>
            </w:r>
            <w:r>
              <w:rPr>
                <w:rFonts w:ascii="Arial" w:hAnsi="Arial" w:cs="Arial"/>
                <w:sz w:val="16"/>
                <w:szCs w:val="16"/>
              </w:rPr>
              <w:t xml:space="preserve">100 (40% women) </w:t>
            </w:r>
          </w:p>
          <w:p w14:paraId="74062A50" w14:textId="2B9241BD" w:rsidR="003F3D2D" w:rsidRPr="000D4EA4" w:rsidRDefault="003F3D2D" w:rsidP="003F3D2D">
            <w:pPr>
              <w:rPr>
                <w:rFonts w:ascii="Arial" w:hAnsi="Arial" w:cs="Arial"/>
                <w:sz w:val="16"/>
                <w:szCs w:val="16"/>
              </w:rPr>
            </w:pPr>
            <w:r w:rsidRPr="000D4EA4">
              <w:rPr>
                <w:rFonts w:ascii="Arial" w:hAnsi="Arial" w:cs="Arial"/>
                <w:sz w:val="16"/>
                <w:szCs w:val="16"/>
              </w:rPr>
              <w:t>By the end of the project: additional 150 (40% women)</w:t>
            </w:r>
          </w:p>
          <w:p w14:paraId="5CF0CCC5" w14:textId="77777777" w:rsidR="00AF493D" w:rsidRPr="00F71698" w:rsidRDefault="00AF493D" w:rsidP="00D570C5">
            <w:pPr>
              <w:rPr>
                <w:rFonts w:ascii="Arial" w:hAnsi="Arial" w:cs="Arial"/>
                <w:sz w:val="16"/>
                <w:szCs w:val="16"/>
              </w:rPr>
            </w:pPr>
          </w:p>
        </w:tc>
      </w:tr>
      <w:tr w:rsidR="00AF493D" w:rsidRPr="00F71698" w14:paraId="7A9E33E6" w14:textId="77777777" w:rsidTr="0060118A">
        <w:tc>
          <w:tcPr>
            <w:tcW w:w="2425" w:type="dxa"/>
            <w:vMerge/>
            <w:shd w:val="clear" w:color="auto" w:fill="FFFF99"/>
          </w:tcPr>
          <w:p w14:paraId="378373BD" w14:textId="77777777" w:rsidR="00AF493D" w:rsidRPr="00F71698" w:rsidRDefault="00AF493D" w:rsidP="00D570C5">
            <w:pPr>
              <w:rPr>
                <w:rFonts w:ascii="Arial" w:hAnsi="Arial" w:cs="Arial"/>
                <w:sz w:val="16"/>
                <w:szCs w:val="16"/>
              </w:rPr>
            </w:pPr>
          </w:p>
        </w:tc>
        <w:tc>
          <w:tcPr>
            <w:tcW w:w="3263" w:type="dxa"/>
            <w:vMerge/>
            <w:tcBorders>
              <w:bottom w:val="single" w:sz="4" w:space="0" w:color="auto"/>
            </w:tcBorders>
            <w:shd w:val="clear" w:color="auto" w:fill="auto"/>
          </w:tcPr>
          <w:p w14:paraId="48FBE93C" w14:textId="77777777" w:rsidR="00AF493D" w:rsidRPr="00F71698" w:rsidRDefault="00AF493D" w:rsidP="00D570C5">
            <w:pPr>
              <w:rPr>
                <w:rFonts w:ascii="Arial" w:hAnsi="Arial" w:cs="Arial"/>
                <w:sz w:val="16"/>
                <w:szCs w:val="16"/>
              </w:rPr>
            </w:pPr>
          </w:p>
        </w:tc>
        <w:tc>
          <w:tcPr>
            <w:tcW w:w="3780" w:type="dxa"/>
            <w:tcBorders>
              <w:bottom w:val="single" w:sz="4" w:space="0" w:color="auto"/>
            </w:tcBorders>
            <w:shd w:val="clear" w:color="auto" w:fill="CCFFFF"/>
          </w:tcPr>
          <w:p w14:paraId="032F78E5" w14:textId="637EB7A9" w:rsidR="00AF493D" w:rsidRPr="00F71698" w:rsidRDefault="00AF493D" w:rsidP="00D570C5">
            <w:pPr>
              <w:rPr>
                <w:rFonts w:ascii="Arial" w:hAnsi="Arial" w:cs="Arial"/>
                <w:sz w:val="16"/>
                <w:szCs w:val="16"/>
              </w:rPr>
            </w:pPr>
            <w:r w:rsidRPr="00F71698">
              <w:rPr>
                <w:rFonts w:ascii="Arial" w:hAnsi="Arial" w:cs="Arial"/>
                <w:sz w:val="16"/>
                <w:szCs w:val="16"/>
              </w:rPr>
              <w:t>Output Indicator 1.2.3</w:t>
            </w:r>
          </w:p>
          <w:p w14:paraId="43931E1D" w14:textId="77777777" w:rsidR="00EA4602" w:rsidRPr="000D4EA4" w:rsidRDefault="00EA4602" w:rsidP="00EA4602">
            <w:pPr>
              <w:rPr>
                <w:rFonts w:ascii="Arial" w:hAnsi="Arial" w:cs="Arial"/>
                <w:sz w:val="16"/>
                <w:szCs w:val="16"/>
              </w:rPr>
            </w:pPr>
            <w:r w:rsidRPr="000D4EA4">
              <w:rPr>
                <w:rFonts w:ascii="Arial" w:hAnsi="Arial" w:cs="Arial"/>
                <w:sz w:val="16"/>
                <w:szCs w:val="16"/>
              </w:rPr>
              <w:t>Reach of the digital advocacy / awareness campaigns on peaceful Kosovo (Number of impressions on social media channels, and Number of photos and videos submitted by participating youth)</w:t>
            </w:r>
          </w:p>
          <w:p w14:paraId="4F3D915A" w14:textId="4EE388FD" w:rsidR="00AF493D" w:rsidRPr="00F71698" w:rsidRDefault="00AF493D" w:rsidP="00D570C5">
            <w:pPr>
              <w:rPr>
                <w:rFonts w:ascii="Arial" w:hAnsi="Arial" w:cs="Arial"/>
                <w:sz w:val="16"/>
                <w:szCs w:val="16"/>
              </w:rPr>
            </w:pPr>
          </w:p>
          <w:p w14:paraId="07FE1154" w14:textId="51856737" w:rsidR="00AF493D" w:rsidRPr="00F71698" w:rsidRDefault="00AF493D" w:rsidP="00D570C5">
            <w:pPr>
              <w:rPr>
                <w:rFonts w:ascii="Arial" w:hAnsi="Arial" w:cs="Arial"/>
                <w:sz w:val="16"/>
                <w:szCs w:val="16"/>
              </w:rPr>
            </w:pPr>
            <w:r w:rsidRPr="00F71698">
              <w:rPr>
                <w:rFonts w:ascii="Arial" w:hAnsi="Arial" w:cs="Arial"/>
                <w:sz w:val="16"/>
                <w:szCs w:val="16"/>
              </w:rPr>
              <w:t>Baseline:</w:t>
            </w:r>
            <w:r w:rsidR="00EA4602">
              <w:rPr>
                <w:rFonts w:ascii="Arial" w:hAnsi="Arial" w:cs="Arial"/>
                <w:sz w:val="16"/>
                <w:szCs w:val="16"/>
              </w:rPr>
              <w:t xml:space="preserve"> 0</w:t>
            </w:r>
          </w:p>
          <w:p w14:paraId="38EB6FA6" w14:textId="7B4CEF4D" w:rsidR="00AF493D" w:rsidRPr="00F71698" w:rsidRDefault="00AF493D" w:rsidP="00D570C5">
            <w:pPr>
              <w:rPr>
                <w:rFonts w:ascii="Arial" w:hAnsi="Arial" w:cs="Arial"/>
                <w:sz w:val="16"/>
                <w:szCs w:val="16"/>
              </w:rPr>
            </w:pPr>
            <w:r w:rsidRPr="00F71698">
              <w:rPr>
                <w:rFonts w:ascii="Arial" w:hAnsi="Arial" w:cs="Arial"/>
                <w:sz w:val="16"/>
                <w:szCs w:val="16"/>
              </w:rPr>
              <w:t>Target:</w:t>
            </w:r>
            <w:r w:rsidR="00EA4602">
              <w:rPr>
                <w:rFonts w:ascii="Arial" w:hAnsi="Arial" w:cs="Arial"/>
                <w:sz w:val="16"/>
                <w:szCs w:val="16"/>
              </w:rPr>
              <w:t xml:space="preserve"> </w:t>
            </w:r>
            <w:r w:rsidR="00EA4602" w:rsidRPr="000D4EA4">
              <w:rPr>
                <w:rFonts w:ascii="Arial" w:hAnsi="Arial" w:cs="Arial"/>
                <w:sz w:val="16"/>
                <w:szCs w:val="16"/>
              </w:rPr>
              <w:t xml:space="preserve">350,000 impressions reached, and 350 photos and 30 videos showcasing youth views on peaceful Kosovo submitted.  </w:t>
            </w:r>
          </w:p>
          <w:p w14:paraId="3B270C9F" w14:textId="77777777" w:rsidR="00AF493D" w:rsidRPr="00F71698" w:rsidRDefault="00AF493D" w:rsidP="00D570C5">
            <w:pPr>
              <w:rPr>
                <w:rFonts w:ascii="Arial" w:hAnsi="Arial" w:cs="Arial"/>
                <w:sz w:val="16"/>
                <w:szCs w:val="16"/>
              </w:rPr>
            </w:pPr>
          </w:p>
        </w:tc>
        <w:tc>
          <w:tcPr>
            <w:tcW w:w="1800" w:type="dxa"/>
            <w:tcBorders>
              <w:bottom w:val="single" w:sz="4" w:space="0" w:color="auto"/>
            </w:tcBorders>
            <w:shd w:val="clear" w:color="auto" w:fill="CCFFFF"/>
          </w:tcPr>
          <w:p w14:paraId="641BF704" w14:textId="39A68C1F" w:rsidR="00AF493D" w:rsidRPr="00F71698" w:rsidRDefault="00EA4602" w:rsidP="00D570C5">
            <w:pPr>
              <w:rPr>
                <w:rFonts w:ascii="Arial" w:hAnsi="Arial" w:cs="Arial"/>
                <w:sz w:val="16"/>
                <w:szCs w:val="16"/>
              </w:rPr>
            </w:pPr>
            <w:r w:rsidRPr="000D4EA4">
              <w:rPr>
                <w:rFonts w:ascii="Arial" w:hAnsi="Arial" w:cs="Arial"/>
                <w:sz w:val="16"/>
                <w:szCs w:val="16"/>
              </w:rPr>
              <w:lastRenderedPageBreak/>
              <w:t>Social media analytics (Facebook, Instagram, Twitter), Competition submissions records.</w:t>
            </w:r>
          </w:p>
        </w:tc>
        <w:tc>
          <w:tcPr>
            <w:tcW w:w="2857" w:type="dxa"/>
            <w:tcBorders>
              <w:bottom w:val="single" w:sz="4" w:space="0" w:color="auto"/>
            </w:tcBorders>
            <w:shd w:val="clear" w:color="auto" w:fill="CCFFFF"/>
          </w:tcPr>
          <w:p w14:paraId="238102CD" w14:textId="77777777" w:rsidR="00EA4602" w:rsidRDefault="00EA4602" w:rsidP="00D570C5">
            <w:pPr>
              <w:rPr>
                <w:rFonts w:ascii="Arial" w:hAnsi="Arial" w:cs="Arial"/>
                <w:sz w:val="16"/>
                <w:szCs w:val="16"/>
              </w:rPr>
            </w:pPr>
            <w:bookmarkStart w:id="9" w:name="_Hlk529190989"/>
            <w:r w:rsidRPr="000D4EA4">
              <w:rPr>
                <w:rFonts w:ascii="Arial" w:hAnsi="Arial" w:cs="Arial"/>
                <w:sz w:val="16"/>
                <w:szCs w:val="16"/>
              </w:rPr>
              <w:t>After 12 months: n/a</w:t>
            </w:r>
            <w:r>
              <w:rPr>
                <w:rFonts w:ascii="Arial" w:hAnsi="Arial" w:cs="Arial"/>
                <w:sz w:val="16"/>
                <w:szCs w:val="16"/>
              </w:rPr>
              <w:t xml:space="preserve"> </w:t>
            </w:r>
          </w:p>
          <w:p w14:paraId="1FE04AB1" w14:textId="45B7493A" w:rsidR="00AF493D" w:rsidRPr="00F71698" w:rsidRDefault="00EA4602" w:rsidP="00D570C5">
            <w:pPr>
              <w:rPr>
                <w:rFonts w:ascii="Arial" w:hAnsi="Arial" w:cs="Arial"/>
                <w:sz w:val="16"/>
                <w:szCs w:val="16"/>
              </w:rPr>
            </w:pPr>
            <w:r w:rsidRPr="000D4EA4">
              <w:rPr>
                <w:rFonts w:ascii="Arial" w:hAnsi="Arial" w:cs="Arial"/>
                <w:sz w:val="16"/>
                <w:szCs w:val="16"/>
              </w:rPr>
              <w:t>By the end of the project: 350,000 impressions reached, and 350 photos and 30 videos submitted</w:t>
            </w:r>
            <w:bookmarkEnd w:id="9"/>
          </w:p>
        </w:tc>
      </w:tr>
      <w:tr w:rsidR="00AF493D" w:rsidRPr="00F71698" w14:paraId="34DA4918" w14:textId="77777777" w:rsidTr="0060118A">
        <w:trPr>
          <w:trHeight w:val="350"/>
        </w:trPr>
        <w:tc>
          <w:tcPr>
            <w:tcW w:w="2425" w:type="dxa"/>
            <w:vMerge/>
            <w:shd w:val="clear" w:color="auto" w:fill="FFFF99"/>
          </w:tcPr>
          <w:p w14:paraId="223A0953" w14:textId="77777777" w:rsidR="00AF493D" w:rsidRPr="00F71698" w:rsidRDefault="00AF493D" w:rsidP="00D570C5">
            <w:pPr>
              <w:rPr>
                <w:rFonts w:ascii="Arial" w:hAnsi="Arial" w:cs="Arial"/>
                <w:sz w:val="16"/>
                <w:szCs w:val="16"/>
              </w:rPr>
            </w:pPr>
          </w:p>
        </w:tc>
        <w:tc>
          <w:tcPr>
            <w:tcW w:w="3263" w:type="dxa"/>
            <w:vMerge w:val="restart"/>
            <w:shd w:val="clear" w:color="auto" w:fill="CCFFFF"/>
          </w:tcPr>
          <w:p w14:paraId="278477EA" w14:textId="77777777" w:rsidR="00AF493D" w:rsidRDefault="00AF493D" w:rsidP="00D570C5">
            <w:pPr>
              <w:rPr>
                <w:rFonts w:ascii="Arial" w:hAnsi="Arial" w:cs="Arial"/>
                <w:sz w:val="16"/>
                <w:szCs w:val="16"/>
              </w:rPr>
            </w:pPr>
            <w:r w:rsidRPr="00F71698">
              <w:rPr>
                <w:rFonts w:ascii="Arial" w:hAnsi="Arial" w:cs="Arial"/>
                <w:sz w:val="16"/>
                <w:szCs w:val="16"/>
              </w:rPr>
              <w:t>Output 1.3</w:t>
            </w:r>
          </w:p>
          <w:p w14:paraId="3344F1FB" w14:textId="09E0C0AF" w:rsidR="00A02C7A" w:rsidRDefault="005E2CBE" w:rsidP="00D570C5">
            <w:pPr>
              <w:rPr>
                <w:rFonts w:ascii="Arial" w:hAnsi="Arial" w:cs="Arial"/>
                <w:sz w:val="16"/>
                <w:szCs w:val="16"/>
              </w:rPr>
            </w:pPr>
            <w:r w:rsidRPr="00D72DB7">
              <w:rPr>
                <w:rFonts w:ascii="Arial" w:hAnsi="Arial" w:cs="Arial"/>
                <w:b/>
                <w:sz w:val="16"/>
                <w:szCs w:val="16"/>
              </w:rPr>
              <w:t xml:space="preserve">Leadership capacity and influence of women and young girls to engage in </w:t>
            </w:r>
            <w:r w:rsidR="005B0DD6">
              <w:rPr>
                <w:rFonts w:ascii="Arial" w:hAnsi="Arial" w:cs="Arial"/>
                <w:b/>
                <w:sz w:val="16"/>
                <w:szCs w:val="16"/>
              </w:rPr>
              <w:t>peacebuilding has been increased</w:t>
            </w:r>
          </w:p>
          <w:p w14:paraId="7703F81B" w14:textId="77777777" w:rsidR="00A02C7A" w:rsidRDefault="00A02C7A" w:rsidP="00D570C5">
            <w:pPr>
              <w:rPr>
                <w:rFonts w:ascii="Arial" w:hAnsi="Arial" w:cs="Arial"/>
                <w:sz w:val="16"/>
                <w:szCs w:val="16"/>
              </w:rPr>
            </w:pPr>
          </w:p>
          <w:p w14:paraId="6358BB9F" w14:textId="77777777" w:rsidR="00A02C7A" w:rsidRDefault="00A02C7A" w:rsidP="00D570C5">
            <w:pPr>
              <w:rPr>
                <w:rFonts w:ascii="Arial" w:hAnsi="Arial" w:cs="Arial"/>
                <w:sz w:val="16"/>
                <w:szCs w:val="16"/>
              </w:rPr>
            </w:pPr>
            <w:r>
              <w:rPr>
                <w:rFonts w:ascii="Arial" w:hAnsi="Arial" w:cs="Arial"/>
                <w:sz w:val="16"/>
                <w:szCs w:val="16"/>
              </w:rPr>
              <w:t>List of activities under this Output:</w:t>
            </w:r>
          </w:p>
          <w:p w14:paraId="75763CB8" w14:textId="6776C9FE" w:rsidR="005E2CBE" w:rsidRDefault="005E2CBE" w:rsidP="00D570C5">
            <w:pPr>
              <w:rPr>
                <w:rFonts w:ascii="Arial" w:hAnsi="Arial" w:cs="Arial"/>
                <w:sz w:val="16"/>
                <w:szCs w:val="16"/>
              </w:rPr>
            </w:pPr>
          </w:p>
          <w:p w14:paraId="18C56CD1" w14:textId="3DEA718F" w:rsidR="00015956" w:rsidRDefault="1534F9D4" w:rsidP="1534F9D4">
            <w:pPr>
              <w:rPr>
                <w:rFonts w:ascii="Arial" w:hAnsi="Arial" w:cs="Arial"/>
                <w:sz w:val="16"/>
                <w:szCs w:val="16"/>
              </w:rPr>
            </w:pPr>
            <w:r w:rsidRPr="1534F9D4">
              <w:rPr>
                <w:rFonts w:ascii="Arial" w:hAnsi="Arial" w:cs="Arial"/>
                <w:sz w:val="16"/>
                <w:szCs w:val="16"/>
              </w:rPr>
              <w:t xml:space="preserve">1.3.1. </w:t>
            </w:r>
            <w:r w:rsidR="00E017D2" w:rsidRPr="00121C9A">
              <w:rPr>
                <w:rFonts w:ascii="Arial" w:hAnsi="Arial" w:cs="Arial"/>
                <w:sz w:val="16"/>
                <w:szCs w:val="16"/>
              </w:rPr>
              <w:t>Engage</w:t>
            </w:r>
            <w:r w:rsidR="004E1648">
              <w:rPr>
                <w:rFonts w:ascii="Arial" w:hAnsi="Arial" w:cs="Arial"/>
                <w:sz w:val="16"/>
                <w:szCs w:val="16"/>
              </w:rPr>
              <w:t xml:space="preserve"> municipal gender officers in target municipalities</w:t>
            </w:r>
            <w:r w:rsidR="002F1F61">
              <w:rPr>
                <w:rFonts w:ascii="Arial" w:hAnsi="Arial" w:cs="Arial"/>
                <w:sz w:val="16"/>
                <w:szCs w:val="16"/>
              </w:rPr>
              <w:t xml:space="preserve"> (where they are in place)</w:t>
            </w:r>
            <w:r w:rsidR="004E1648">
              <w:rPr>
                <w:rFonts w:ascii="Arial" w:hAnsi="Arial" w:cs="Arial"/>
                <w:sz w:val="16"/>
                <w:szCs w:val="16"/>
              </w:rPr>
              <w:t xml:space="preserve"> to strengthen the role and influence of women and girls in decision-making and peacebuilding through advocacy and public sensitization. </w:t>
            </w:r>
            <w:r w:rsidR="00B66A7D">
              <w:rPr>
                <w:rFonts w:ascii="Arial" w:hAnsi="Arial" w:cs="Arial"/>
                <w:sz w:val="16"/>
                <w:szCs w:val="16"/>
              </w:rPr>
              <w:t>(UN Women)</w:t>
            </w:r>
          </w:p>
          <w:p w14:paraId="59E585DF" w14:textId="554D9C5E" w:rsidR="004E1648" w:rsidRDefault="004E1648" w:rsidP="1534F9D4">
            <w:pPr>
              <w:rPr>
                <w:rFonts w:ascii="Arial" w:hAnsi="Arial" w:cs="Arial"/>
                <w:sz w:val="16"/>
                <w:szCs w:val="16"/>
              </w:rPr>
            </w:pPr>
          </w:p>
          <w:p w14:paraId="1D74B29E" w14:textId="24767E9E" w:rsidR="004E1648" w:rsidRDefault="004E1648" w:rsidP="1534F9D4">
            <w:pPr>
              <w:rPr>
                <w:rFonts w:ascii="Arial" w:hAnsi="Arial" w:cs="Arial"/>
                <w:sz w:val="16"/>
                <w:szCs w:val="16"/>
              </w:rPr>
            </w:pPr>
            <w:r>
              <w:rPr>
                <w:rFonts w:ascii="Arial" w:hAnsi="Arial" w:cs="Arial"/>
                <w:sz w:val="16"/>
                <w:szCs w:val="16"/>
              </w:rPr>
              <w:t xml:space="preserve">1.3.2. Provide </w:t>
            </w:r>
            <w:r w:rsidR="009473C9">
              <w:rPr>
                <w:rFonts w:ascii="Arial" w:hAnsi="Arial" w:cs="Arial"/>
                <w:sz w:val="16"/>
                <w:szCs w:val="16"/>
              </w:rPr>
              <w:t>technical expertise and platforms</w:t>
            </w:r>
            <w:r>
              <w:rPr>
                <w:rFonts w:ascii="Arial" w:hAnsi="Arial" w:cs="Arial"/>
                <w:sz w:val="16"/>
                <w:szCs w:val="16"/>
              </w:rPr>
              <w:t xml:space="preserve"> to CSOs and women groups in the target localities to strengthen their agency and role as peacebuilding actors</w:t>
            </w:r>
            <w:r w:rsidR="009473C9">
              <w:rPr>
                <w:rFonts w:ascii="Arial" w:hAnsi="Arial" w:cs="Arial"/>
                <w:sz w:val="16"/>
                <w:szCs w:val="16"/>
              </w:rPr>
              <w:t xml:space="preserve">. </w:t>
            </w:r>
            <w:r w:rsidR="00B66A7D">
              <w:rPr>
                <w:rFonts w:ascii="Arial" w:hAnsi="Arial" w:cs="Arial"/>
                <w:sz w:val="16"/>
                <w:szCs w:val="16"/>
              </w:rPr>
              <w:t>(UN Women)</w:t>
            </w:r>
          </w:p>
          <w:p w14:paraId="70E42AEB" w14:textId="7C4F6A0F" w:rsidR="00B66A7D" w:rsidRDefault="00B66A7D" w:rsidP="1534F9D4">
            <w:pPr>
              <w:rPr>
                <w:rFonts w:ascii="Arial" w:hAnsi="Arial" w:cs="Arial"/>
                <w:sz w:val="16"/>
                <w:szCs w:val="16"/>
              </w:rPr>
            </w:pPr>
          </w:p>
          <w:p w14:paraId="0DA4C8D9" w14:textId="6359A08B" w:rsidR="00B66A7D" w:rsidRDefault="00B66A7D" w:rsidP="1534F9D4">
            <w:pPr>
              <w:rPr>
                <w:rFonts w:ascii="Arial" w:hAnsi="Arial" w:cs="Arial"/>
                <w:sz w:val="16"/>
                <w:szCs w:val="16"/>
              </w:rPr>
            </w:pPr>
            <w:r>
              <w:rPr>
                <w:rFonts w:ascii="Arial" w:hAnsi="Arial" w:cs="Arial"/>
                <w:sz w:val="16"/>
                <w:szCs w:val="16"/>
              </w:rPr>
              <w:t xml:space="preserve">1.3.3. Deliver training </w:t>
            </w:r>
            <w:r w:rsidRPr="00B66A7D">
              <w:rPr>
                <w:rFonts w:ascii="Arial" w:hAnsi="Arial" w:cs="Arial"/>
                <w:sz w:val="16"/>
                <w:szCs w:val="16"/>
              </w:rPr>
              <w:t xml:space="preserve">to young women </w:t>
            </w:r>
            <w:r>
              <w:rPr>
                <w:rFonts w:ascii="Arial" w:hAnsi="Arial" w:cs="Arial"/>
                <w:sz w:val="16"/>
                <w:szCs w:val="16"/>
              </w:rPr>
              <w:t xml:space="preserve">from the target communities </w:t>
            </w:r>
            <w:r w:rsidRPr="00B66A7D">
              <w:rPr>
                <w:rFonts w:ascii="Arial" w:hAnsi="Arial" w:cs="Arial"/>
                <w:sz w:val="16"/>
                <w:szCs w:val="16"/>
              </w:rPr>
              <w:t>on conflict-resolution, mediation skills,</w:t>
            </w:r>
            <w:r w:rsidR="00881264">
              <w:rPr>
                <w:rFonts w:ascii="Arial" w:hAnsi="Arial" w:cs="Arial"/>
                <w:sz w:val="16"/>
                <w:szCs w:val="16"/>
              </w:rPr>
              <w:t xml:space="preserve"> leadership skills,</w:t>
            </w:r>
            <w:r w:rsidRPr="00B66A7D">
              <w:rPr>
                <w:rFonts w:ascii="Arial" w:hAnsi="Arial" w:cs="Arial"/>
                <w:sz w:val="16"/>
                <w:szCs w:val="16"/>
              </w:rPr>
              <w:t xml:space="preserve"> and advocacy/lobbying</w:t>
            </w:r>
            <w:r w:rsidR="00881264">
              <w:rPr>
                <w:rFonts w:ascii="Arial" w:hAnsi="Arial" w:cs="Arial"/>
                <w:sz w:val="16"/>
                <w:szCs w:val="16"/>
              </w:rPr>
              <w:t>.</w:t>
            </w:r>
            <w:r w:rsidR="00BC170A">
              <w:rPr>
                <w:rFonts w:ascii="Arial" w:hAnsi="Arial" w:cs="Arial"/>
                <w:sz w:val="16"/>
                <w:szCs w:val="16"/>
              </w:rPr>
              <w:t xml:space="preserve"> (UN Women)</w:t>
            </w:r>
          </w:p>
          <w:p w14:paraId="20A57D7B" w14:textId="07CB889E" w:rsidR="009473C9" w:rsidRDefault="009473C9" w:rsidP="1534F9D4">
            <w:pPr>
              <w:rPr>
                <w:rFonts w:ascii="Arial" w:hAnsi="Arial" w:cs="Arial"/>
                <w:sz w:val="16"/>
                <w:szCs w:val="16"/>
              </w:rPr>
            </w:pPr>
          </w:p>
          <w:p w14:paraId="2644B9F7" w14:textId="72F85339" w:rsidR="009473C9" w:rsidRDefault="00881264" w:rsidP="1534F9D4">
            <w:pPr>
              <w:rPr>
                <w:rFonts w:ascii="Arial" w:hAnsi="Arial" w:cs="Arial"/>
                <w:sz w:val="16"/>
                <w:szCs w:val="16"/>
              </w:rPr>
            </w:pPr>
            <w:r>
              <w:rPr>
                <w:rFonts w:ascii="Arial" w:hAnsi="Arial" w:cs="Arial"/>
                <w:sz w:val="16"/>
                <w:szCs w:val="16"/>
              </w:rPr>
              <w:t>1.3.4. Organize s</w:t>
            </w:r>
            <w:r w:rsidRPr="00881264">
              <w:rPr>
                <w:rFonts w:ascii="Arial" w:hAnsi="Arial" w:cs="Arial"/>
                <w:sz w:val="16"/>
                <w:szCs w:val="16"/>
              </w:rPr>
              <w:t>trategic workshops</w:t>
            </w:r>
            <w:r>
              <w:rPr>
                <w:rFonts w:ascii="Arial" w:hAnsi="Arial" w:cs="Arial"/>
                <w:sz w:val="16"/>
                <w:szCs w:val="16"/>
              </w:rPr>
              <w:t xml:space="preserve"> in the target localities</w:t>
            </w:r>
            <w:r w:rsidRPr="00881264">
              <w:rPr>
                <w:rFonts w:ascii="Arial" w:hAnsi="Arial" w:cs="Arial"/>
                <w:sz w:val="16"/>
                <w:szCs w:val="16"/>
              </w:rPr>
              <w:t xml:space="preserve"> offering guidance to key </w:t>
            </w:r>
            <w:r w:rsidRPr="00881264">
              <w:rPr>
                <w:rFonts w:ascii="Arial" w:hAnsi="Arial" w:cs="Arial"/>
                <w:sz w:val="16"/>
                <w:szCs w:val="16"/>
              </w:rPr>
              <w:lastRenderedPageBreak/>
              <w:t>stakeholders on meaningful youth engagement in post-conflict setting/peacebuilding</w:t>
            </w:r>
            <w:r>
              <w:rPr>
                <w:rFonts w:ascii="Arial" w:hAnsi="Arial" w:cs="Arial"/>
                <w:sz w:val="16"/>
                <w:szCs w:val="16"/>
              </w:rPr>
              <w:t xml:space="preserve"> with specific emphasis on young women. </w:t>
            </w:r>
            <w:r w:rsidR="00BC170A">
              <w:rPr>
                <w:rFonts w:ascii="Arial" w:hAnsi="Arial" w:cs="Arial"/>
                <w:sz w:val="16"/>
                <w:szCs w:val="16"/>
              </w:rPr>
              <w:t>(UN Women)</w:t>
            </w:r>
          </w:p>
          <w:p w14:paraId="3B9D9763" w14:textId="77777777" w:rsidR="004A55B7" w:rsidRDefault="004A55B7" w:rsidP="1534F9D4">
            <w:pPr>
              <w:rPr>
                <w:rFonts w:ascii="Arial" w:hAnsi="Arial" w:cs="Arial"/>
                <w:sz w:val="16"/>
                <w:szCs w:val="16"/>
              </w:rPr>
            </w:pPr>
          </w:p>
          <w:p w14:paraId="2DFE640E" w14:textId="50D2C4C0" w:rsidR="00BC170A" w:rsidRDefault="00BC170A" w:rsidP="1534F9D4">
            <w:pPr>
              <w:rPr>
                <w:rFonts w:ascii="Arial" w:hAnsi="Arial" w:cs="Arial"/>
                <w:sz w:val="16"/>
                <w:szCs w:val="16"/>
              </w:rPr>
            </w:pPr>
            <w:r>
              <w:rPr>
                <w:rFonts w:ascii="Arial" w:hAnsi="Arial" w:cs="Arial"/>
                <w:sz w:val="16"/>
                <w:szCs w:val="16"/>
              </w:rPr>
              <w:t xml:space="preserve">1.3.5. Design and implement advocacy campaigns to </w:t>
            </w:r>
            <w:r w:rsidRPr="00BC170A">
              <w:rPr>
                <w:rFonts w:ascii="Arial" w:hAnsi="Arial" w:cs="Arial"/>
                <w:sz w:val="16"/>
                <w:szCs w:val="16"/>
              </w:rPr>
              <w:t>promote women’s and youth’s inclusion in peacebuilding and its centrality</w:t>
            </w:r>
            <w:r>
              <w:rPr>
                <w:rFonts w:ascii="Arial" w:hAnsi="Arial" w:cs="Arial"/>
                <w:sz w:val="16"/>
                <w:szCs w:val="16"/>
              </w:rPr>
              <w:t>, including publication of</w:t>
            </w:r>
            <w:r w:rsidRPr="00BC170A">
              <w:rPr>
                <w:rFonts w:ascii="Arial" w:hAnsi="Arial" w:cs="Arial"/>
                <w:sz w:val="16"/>
                <w:szCs w:val="16"/>
              </w:rPr>
              <w:t xml:space="preserve"> portraits of young women’s success stories as community peacebuilders</w:t>
            </w:r>
            <w:r>
              <w:rPr>
                <w:rFonts w:ascii="Arial" w:hAnsi="Arial" w:cs="Arial"/>
                <w:sz w:val="16"/>
                <w:szCs w:val="16"/>
              </w:rPr>
              <w:t>.</w:t>
            </w:r>
            <w:r w:rsidR="005779AA">
              <w:rPr>
                <w:rFonts w:ascii="Arial" w:hAnsi="Arial" w:cs="Arial"/>
                <w:sz w:val="16"/>
                <w:szCs w:val="16"/>
              </w:rPr>
              <w:t xml:space="preserve"> (UN Women)</w:t>
            </w:r>
          </w:p>
          <w:p w14:paraId="67AB8292" w14:textId="39BD0E5B" w:rsidR="00BC170A" w:rsidRDefault="00BC170A" w:rsidP="1534F9D4">
            <w:pPr>
              <w:rPr>
                <w:rFonts w:ascii="Arial" w:hAnsi="Arial" w:cs="Arial"/>
                <w:sz w:val="16"/>
                <w:szCs w:val="16"/>
              </w:rPr>
            </w:pPr>
          </w:p>
          <w:p w14:paraId="24DC8171" w14:textId="663763B7" w:rsidR="00BC170A" w:rsidRDefault="00BC170A" w:rsidP="005779AA">
            <w:pPr>
              <w:rPr>
                <w:rFonts w:ascii="Arial" w:hAnsi="Arial" w:cs="Arial"/>
                <w:sz w:val="16"/>
                <w:szCs w:val="16"/>
              </w:rPr>
            </w:pPr>
            <w:r>
              <w:rPr>
                <w:rFonts w:ascii="Arial" w:hAnsi="Arial" w:cs="Arial"/>
                <w:sz w:val="16"/>
                <w:szCs w:val="16"/>
              </w:rPr>
              <w:t xml:space="preserve">1.3.6. </w:t>
            </w:r>
            <w:r w:rsidR="005779AA">
              <w:rPr>
                <w:rFonts w:ascii="Arial" w:hAnsi="Arial" w:cs="Arial"/>
                <w:sz w:val="16"/>
                <w:szCs w:val="16"/>
              </w:rPr>
              <w:t>Organize w</w:t>
            </w:r>
            <w:r w:rsidR="005779AA" w:rsidRPr="005779AA">
              <w:rPr>
                <w:rFonts w:ascii="Arial" w:hAnsi="Arial" w:cs="Arial"/>
                <w:sz w:val="16"/>
                <w:szCs w:val="16"/>
              </w:rPr>
              <w:t xml:space="preserve">orkshops </w:t>
            </w:r>
            <w:r w:rsidR="005E1AFC">
              <w:rPr>
                <w:rFonts w:ascii="Arial" w:hAnsi="Arial" w:cs="Arial"/>
                <w:sz w:val="16"/>
                <w:szCs w:val="16"/>
              </w:rPr>
              <w:t xml:space="preserve">and develop a guideline </w:t>
            </w:r>
            <w:r w:rsidR="005779AA" w:rsidRPr="005779AA">
              <w:rPr>
                <w:rFonts w:ascii="Arial" w:hAnsi="Arial" w:cs="Arial"/>
                <w:sz w:val="16"/>
                <w:szCs w:val="16"/>
              </w:rPr>
              <w:t xml:space="preserve">on the role of media as an instrument of peace and conflict prevention </w:t>
            </w:r>
            <w:r w:rsidR="005E1AFC">
              <w:rPr>
                <w:rFonts w:ascii="Arial" w:hAnsi="Arial" w:cs="Arial"/>
                <w:sz w:val="16"/>
                <w:szCs w:val="16"/>
              </w:rPr>
              <w:t xml:space="preserve">and gender-responsive reporting </w:t>
            </w:r>
            <w:r w:rsidR="005779AA" w:rsidRPr="005779AA">
              <w:rPr>
                <w:rFonts w:ascii="Arial" w:hAnsi="Arial" w:cs="Arial"/>
                <w:sz w:val="16"/>
                <w:szCs w:val="16"/>
              </w:rPr>
              <w:t>for practitioners</w:t>
            </w:r>
            <w:r w:rsidR="005779AA">
              <w:rPr>
                <w:rFonts w:ascii="Arial" w:hAnsi="Arial" w:cs="Arial"/>
                <w:sz w:val="16"/>
                <w:szCs w:val="16"/>
              </w:rPr>
              <w:t xml:space="preserve"> </w:t>
            </w:r>
            <w:r w:rsidR="005E1AFC">
              <w:rPr>
                <w:rFonts w:ascii="Arial" w:hAnsi="Arial" w:cs="Arial"/>
                <w:sz w:val="16"/>
                <w:szCs w:val="16"/>
              </w:rPr>
              <w:t>in Kosovo</w:t>
            </w:r>
            <w:r w:rsidR="005779AA">
              <w:rPr>
                <w:rFonts w:ascii="Arial" w:hAnsi="Arial" w:cs="Arial"/>
                <w:sz w:val="16"/>
                <w:szCs w:val="16"/>
              </w:rPr>
              <w:t>. (UN Women)</w:t>
            </w:r>
          </w:p>
          <w:p w14:paraId="5D4AE5E8" w14:textId="1D62D26B" w:rsidR="005779AA" w:rsidRDefault="005779AA" w:rsidP="005779AA">
            <w:pPr>
              <w:rPr>
                <w:rFonts w:ascii="Arial" w:hAnsi="Arial" w:cs="Arial"/>
                <w:sz w:val="16"/>
                <w:szCs w:val="16"/>
              </w:rPr>
            </w:pPr>
          </w:p>
          <w:p w14:paraId="732F243E" w14:textId="30AA851F" w:rsidR="005779AA" w:rsidRDefault="005779AA" w:rsidP="005779AA">
            <w:pPr>
              <w:rPr>
                <w:rFonts w:ascii="Arial" w:hAnsi="Arial" w:cs="Arial"/>
                <w:sz w:val="16"/>
                <w:szCs w:val="16"/>
              </w:rPr>
            </w:pPr>
            <w:r>
              <w:rPr>
                <w:rFonts w:ascii="Arial" w:hAnsi="Arial" w:cs="Arial"/>
                <w:sz w:val="16"/>
                <w:szCs w:val="16"/>
              </w:rPr>
              <w:t xml:space="preserve">1.3.7. </w:t>
            </w:r>
            <w:r w:rsidR="008C0B92">
              <w:rPr>
                <w:rFonts w:ascii="Arial" w:hAnsi="Arial" w:cs="Arial"/>
                <w:sz w:val="16"/>
                <w:szCs w:val="16"/>
              </w:rPr>
              <w:t xml:space="preserve">Organize a series of lectures in selected universities in </w:t>
            </w:r>
            <w:proofErr w:type="spellStart"/>
            <w:r w:rsidR="004A55B7">
              <w:rPr>
                <w:rFonts w:ascii="Arial" w:hAnsi="Arial" w:cs="Arial"/>
                <w:sz w:val="16"/>
                <w:szCs w:val="16"/>
              </w:rPr>
              <w:t>Prishtinë</w:t>
            </w:r>
            <w:proofErr w:type="spellEnd"/>
            <w:r w:rsidR="004A55B7">
              <w:rPr>
                <w:rFonts w:ascii="Arial" w:hAnsi="Arial" w:cs="Arial"/>
                <w:sz w:val="16"/>
                <w:szCs w:val="16"/>
              </w:rPr>
              <w:t>/</w:t>
            </w:r>
            <w:proofErr w:type="spellStart"/>
            <w:r w:rsidR="004A55B7">
              <w:rPr>
                <w:rFonts w:ascii="Arial" w:hAnsi="Arial" w:cs="Arial"/>
                <w:sz w:val="16"/>
                <w:szCs w:val="16"/>
              </w:rPr>
              <w:t>Priština</w:t>
            </w:r>
            <w:proofErr w:type="spellEnd"/>
            <w:r w:rsidR="004A55B7">
              <w:rPr>
                <w:rFonts w:ascii="Arial" w:hAnsi="Arial" w:cs="Arial"/>
                <w:sz w:val="16"/>
                <w:szCs w:val="16"/>
              </w:rPr>
              <w:t xml:space="preserve"> </w:t>
            </w:r>
            <w:r w:rsidR="008C0B92">
              <w:rPr>
                <w:rFonts w:ascii="Arial" w:hAnsi="Arial" w:cs="Arial"/>
                <w:sz w:val="16"/>
                <w:szCs w:val="16"/>
              </w:rPr>
              <w:t xml:space="preserve">and </w:t>
            </w:r>
            <w:proofErr w:type="spellStart"/>
            <w:r w:rsidR="008C0B92">
              <w:rPr>
                <w:rFonts w:ascii="Arial" w:hAnsi="Arial" w:cs="Arial"/>
                <w:sz w:val="16"/>
                <w:szCs w:val="16"/>
              </w:rPr>
              <w:t>Mitro</w:t>
            </w:r>
            <w:r w:rsidR="004A55B7">
              <w:rPr>
                <w:rFonts w:ascii="Arial" w:hAnsi="Arial" w:cs="Arial"/>
                <w:sz w:val="16"/>
                <w:szCs w:val="16"/>
              </w:rPr>
              <w:t>vic</w:t>
            </w:r>
            <w:r w:rsidR="0047285D">
              <w:rPr>
                <w:rFonts w:ascii="Arial" w:hAnsi="Arial" w:cs="Arial"/>
                <w:sz w:val="16"/>
                <w:szCs w:val="16"/>
              </w:rPr>
              <w:t>ë</w:t>
            </w:r>
            <w:proofErr w:type="spellEnd"/>
            <w:r w:rsidR="0047285D">
              <w:rPr>
                <w:rFonts w:ascii="Arial" w:hAnsi="Arial" w:cs="Arial"/>
                <w:sz w:val="16"/>
                <w:szCs w:val="16"/>
              </w:rPr>
              <w:t>/a</w:t>
            </w:r>
            <w:r w:rsidR="008C0B92">
              <w:rPr>
                <w:rFonts w:ascii="Arial" w:hAnsi="Arial" w:cs="Arial"/>
                <w:sz w:val="16"/>
                <w:szCs w:val="16"/>
              </w:rPr>
              <w:t xml:space="preserve"> on role of women in peacebuilding, including an essay competition for students. (UN Women)</w:t>
            </w:r>
          </w:p>
          <w:p w14:paraId="2D54D21A" w14:textId="77777777" w:rsidR="00BC170A" w:rsidRDefault="00BC170A" w:rsidP="1534F9D4">
            <w:pPr>
              <w:rPr>
                <w:rFonts w:ascii="Arial" w:hAnsi="Arial" w:cs="Arial"/>
                <w:sz w:val="16"/>
                <w:szCs w:val="16"/>
              </w:rPr>
            </w:pPr>
          </w:p>
          <w:p w14:paraId="4EBD6E3D" w14:textId="23841B88" w:rsidR="00015956" w:rsidRPr="004A55B7" w:rsidRDefault="2D7025CE" w:rsidP="2D7025CE">
            <w:pPr>
              <w:rPr>
                <w:rFonts w:ascii="Arial" w:hAnsi="Arial" w:cs="Arial"/>
                <w:sz w:val="16"/>
                <w:szCs w:val="16"/>
              </w:rPr>
            </w:pPr>
            <w:r w:rsidRPr="004A55B7">
              <w:rPr>
                <w:rFonts w:ascii="Arial" w:hAnsi="Arial" w:cs="Arial"/>
                <w:sz w:val="16"/>
                <w:szCs w:val="16"/>
              </w:rPr>
              <w:t>1.3.</w:t>
            </w:r>
            <w:r w:rsidR="004A55B7" w:rsidRPr="004A55B7">
              <w:rPr>
                <w:rFonts w:ascii="Arial" w:hAnsi="Arial" w:cs="Arial"/>
                <w:sz w:val="16"/>
                <w:szCs w:val="16"/>
              </w:rPr>
              <w:t>8</w:t>
            </w:r>
            <w:r w:rsidR="00E148AE">
              <w:rPr>
                <w:rFonts w:ascii="Arial" w:hAnsi="Arial" w:cs="Arial"/>
                <w:sz w:val="16"/>
                <w:szCs w:val="16"/>
              </w:rPr>
              <w:t>.</w:t>
            </w:r>
            <w:r w:rsidR="004A55B7" w:rsidRPr="004A55B7">
              <w:rPr>
                <w:rFonts w:ascii="Arial" w:hAnsi="Arial" w:cs="Arial"/>
                <w:sz w:val="16"/>
                <w:szCs w:val="16"/>
              </w:rPr>
              <w:t xml:space="preserve"> </w:t>
            </w:r>
            <w:r w:rsidRPr="004A55B7">
              <w:rPr>
                <w:rFonts w:ascii="Arial" w:hAnsi="Arial" w:cs="Arial"/>
                <w:sz w:val="16"/>
                <w:szCs w:val="16"/>
              </w:rPr>
              <w:t>Enroll 6-</w:t>
            </w:r>
            <w:r w:rsidR="00B85469">
              <w:rPr>
                <w:rFonts w:ascii="Arial" w:hAnsi="Arial" w:cs="Arial"/>
                <w:sz w:val="16"/>
                <w:szCs w:val="16"/>
              </w:rPr>
              <w:t>9</w:t>
            </w:r>
            <w:r w:rsidR="00B85469" w:rsidRPr="004A55B7">
              <w:rPr>
                <w:rFonts w:ascii="Arial" w:hAnsi="Arial" w:cs="Arial"/>
                <w:sz w:val="16"/>
                <w:szCs w:val="16"/>
              </w:rPr>
              <w:t xml:space="preserve"> </w:t>
            </w:r>
            <w:r w:rsidRPr="004A55B7">
              <w:rPr>
                <w:rFonts w:ascii="Arial" w:hAnsi="Arial" w:cs="Arial"/>
                <w:sz w:val="16"/>
                <w:szCs w:val="16"/>
              </w:rPr>
              <w:t xml:space="preserve">young women into a 6-month mentoring </w:t>
            </w:r>
            <w:proofErr w:type="spellStart"/>
            <w:r w:rsidRPr="004A55B7">
              <w:rPr>
                <w:rFonts w:ascii="Arial" w:hAnsi="Arial" w:cs="Arial"/>
                <w:sz w:val="16"/>
                <w:szCs w:val="16"/>
              </w:rPr>
              <w:t>programme</w:t>
            </w:r>
            <w:proofErr w:type="spellEnd"/>
            <w:r w:rsidRPr="004A55B7">
              <w:rPr>
                <w:rFonts w:ascii="Arial" w:hAnsi="Arial" w:cs="Arial"/>
                <w:sz w:val="16"/>
                <w:szCs w:val="16"/>
              </w:rPr>
              <w:t xml:space="preserve"> with women champions from public institutions (incl. </w:t>
            </w:r>
            <w:r w:rsidR="00445359" w:rsidRPr="004A55B7">
              <w:rPr>
                <w:rFonts w:ascii="Arial" w:hAnsi="Arial" w:cs="Arial"/>
                <w:sz w:val="16"/>
                <w:szCs w:val="16"/>
              </w:rPr>
              <w:t xml:space="preserve">mentoring-oriented </w:t>
            </w:r>
            <w:r w:rsidRPr="004A55B7">
              <w:rPr>
                <w:rFonts w:ascii="Arial" w:hAnsi="Arial" w:cs="Arial"/>
                <w:sz w:val="16"/>
                <w:szCs w:val="16"/>
              </w:rPr>
              <w:t>training of trainers (</w:t>
            </w:r>
            <w:proofErr w:type="spellStart"/>
            <w:r w:rsidRPr="004A55B7">
              <w:rPr>
                <w:rFonts w:ascii="Arial" w:hAnsi="Arial" w:cs="Arial"/>
                <w:sz w:val="16"/>
                <w:szCs w:val="16"/>
              </w:rPr>
              <w:t>ToT</w:t>
            </w:r>
            <w:proofErr w:type="spellEnd"/>
            <w:r w:rsidRPr="004A55B7">
              <w:rPr>
                <w:rFonts w:ascii="Arial" w:hAnsi="Arial" w:cs="Arial"/>
                <w:sz w:val="16"/>
                <w:szCs w:val="16"/>
              </w:rPr>
              <w:t xml:space="preserve">) for 6 selected women leaders/mentors, </w:t>
            </w:r>
            <w:r w:rsidR="00707382" w:rsidRPr="004A55B7">
              <w:rPr>
                <w:rFonts w:ascii="Arial" w:hAnsi="Arial" w:cs="Arial"/>
                <w:sz w:val="16"/>
                <w:szCs w:val="16"/>
              </w:rPr>
              <w:t xml:space="preserve">and </w:t>
            </w:r>
            <w:r w:rsidRPr="004A55B7">
              <w:rPr>
                <w:rFonts w:ascii="Arial" w:hAnsi="Arial" w:cs="Arial"/>
                <w:sz w:val="16"/>
                <w:szCs w:val="16"/>
              </w:rPr>
              <w:t>customized training for mentees) (UNDP-UNV)</w:t>
            </w:r>
          </w:p>
          <w:p w14:paraId="4E3B4C10" w14:textId="62F5DC16" w:rsidR="00015956" w:rsidRPr="004A55B7" w:rsidRDefault="00015956" w:rsidP="2D7025CE">
            <w:pPr>
              <w:rPr>
                <w:rFonts w:ascii="Arial" w:hAnsi="Arial" w:cs="Arial"/>
                <w:sz w:val="16"/>
                <w:szCs w:val="16"/>
              </w:rPr>
            </w:pPr>
          </w:p>
          <w:p w14:paraId="28611AA7" w14:textId="030BC221" w:rsidR="00015956" w:rsidRDefault="2D7025CE" w:rsidP="2D7025CE">
            <w:pPr>
              <w:rPr>
                <w:rFonts w:ascii="Arial" w:hAnsi="Arial" w:cs="Arial"/>
                <w:sz w:val="16"/>
                <w:szCs w:val="16"/>
              </w:rPr>
            </w:pPr>
            <w:r w:rsidRPr="004A55B7">
              <w:rPr>
                <w:rFonts w:ascii="Arial" w:hAnsi="Arial" w:cs="Arial"/>
                <w:sz w:val="16"/>
                <w:szCs w:val="16"/>
              </w:rPr>
              <w:t>1.3.</w:t>
            </w:r>
            <w:r w:rsidR="004A55B7" w:rsidRPr="004A55B7">
              <w:rPr>
                <w:rFonts w:ascii="Arial" w:hAnsi="Arial" w:cs="Arial"/>
                <w:sz w:val="16"/>
                <w:szCs w:val="16"/>
              </w:rPr>
              <w:t>9</w:t>
            </w:r>
            <w:r w:rsidR="00E148AE">
              <w:rPr>
                <w:rFonts w:ascii="Arial" w:hAnsi="Arial" w:cs="Arial"/>
                <w:sz w:val="16"/>
                <w:szCs w:val="16"/>
              </w:rPr>
              <w:t>.</w:t>
            </w:r>
            <w:r w:rsidR="004A55B7" w:rsidRPr="2D7025CE">
              <w:rPr>
                <w:rFonts w:ascii="Arial" w:hAnsi="Arial" w:cs="Arial"/>
                <w:sz w:val="16"/>
                <w:szCs w:val="16"/>
              </w:rPr>
              <w:t xml:space="preserve"> </w:t>
            </w:r>
            <w:r w:rsidRPr="2D7025CE">
              <w:rPr>
                <w:rFonts w:ascii="Arial" w:hAnsi="Arial" w:cs="Arial"/>
                <w:sz w:val="16"/>
                <w:szCs w:val="16"/>
              </w:rPr>
              <w:t>Organize awareness events &amp; interventions at community level in selected municipalities where mentors and mentees will share and publicize their experiences, challenges and opportunities on their engagement. (UNDP-UNV)</w:t>
            </w:r>
          </w:p>
          <w:p w14:paraId="6E522069" w14:textId="5EB38779" w:rsidR="00445359" w:rsidRPr="00F71698" w:rsidRDefault="00445359" w:rsidP="2D7025CE">
            <w:pPr>
              <w:rPr>
                <w:rFonts w:ascii="Arial" w:hAnsi="Arial" w:cs="Arial"/>
                <w:sz w:val="16"/>
                <w:szCs w:val="16"/>
              </w:rPr>
            </w:pPr>
          </w:p>
        </w:tc>
        <w:tc>
          <w:tcPr>
            <w:tcW w:w="3780" w:type="dxa"/>
            <w:shd w:val="clear" w:color="auto" w:fill="CCFFFF"/>
          </w:tcPr>
          <w:p w14:paraId="5FB25F0B" w14:textId="77777777" w:rsidR="00AF493D" w:rsidRPr="00F71698" w:rsidRDefault="00AF493D" w:rsidP="00D570C5">
            <w:pPr>
              <w:rPr>
                <w:rFonts w:ascii="Arial" w:hAnsi="Arial" w:cs="Arial"/>
                <w:sz w:val="16"/>
                <w:szCs w:val="16"/>
              </w:rPr>
            </w:pPr>
            <w:r w:rsidRPr="00F71698">
              <w:rPr>
                <w:rFonts w:ascii="Arial" w:hAnsi="Arial" w:cs="Arial"/>
                <w:sz w:val="16"/>
                <w:szCs w:val="16"/>
              </w:rPr>
              <w:lastRenderedPageBreak/>
              <w:t>Output Indicator 1.3.1</w:t>
            </w:r>
          </w:p>
          <w:p w14:paraId="577D2653" w14:textId="77777777" w:rsidR="0060118A" w:rsidRPr="00EF22A1" w:rsidRDefault="0060118A" w:rsidP="0060118A">
            <w:pPr>
              <w:rPr>
                <w:rFonts w:ascii="Arial" w:hAnsi="Arial" w:cs="Arial"/>
                <w:sz w:val="16"/>
                <w:szCs w:val="16"/>
              </w:rPr>
            </w:pPr>
            <w:r w:rsidRPr="00EF22A1">
              <w:rPr>
                <w:rFonts w:ascii="Arial" w:hAnsi="Arial" w:cs="Arial"/>
                <w:sz w:val="16"/>
                <w:szCs w:val="16"/>
              </w:rPr>
              <w:t>Number of municipal gender officers in target municipalities mobilized to strengthen the role and influence of women and girls in decision-making and peacebuilding</w:t>
            </w:r>
          </w:p>
          <w:p w14:paraId="58F50F6C" w14:textId="77777777" w:rsidR="00AF493D" w:rsidRPr="00F71698" w:rsidRDefault="00AF493D" w:rsidP="00D570C5">
            <w:pPr>
              <w:rPr>
                <w:rFonts w:ascii="Arial" w:hAnsi="Arial" w:cs="Arial"/>
                <w:sz w:val="16"/>
                <w:szCs w:val="16"/>
              </w:rPr>
            </w:pPr>
          </w:p>
          <w:p w14:paraId="4C5D87B0" w14:textId="1352FBDD" w:rsidR="00AF493D" w:rsidRPr="00F71698" w:rsidRDefault="00AF493D" w:rsidP="00D570C5">
            <w:pPr>
              <w:rPr>
                <w:rFonts w:ascii="Arial" w:hAnsi="Arial" w:cs="Arial"/>
                <w:sz w:val="16"/>
                <w:szCs w:val="16"/>
              </w:rPr>
            </w:pPr>
            <w:r w:rsidRPr="00F71698">
              <w:rPr>
                <w:rFonts w:ascii="Arial" w:hAnsi="Arial" w:cs="Arial"/>
                <w:sz w:val="16"/>
                <w:szCs w:val="16"/>
              </w:rPr>
              <w:t>Baseline:</w:t>
            </w:r>
            <w:r w:rsidR="0060118A">
              <w:rPr>
                <w:rFonts w:ascii="Arial" w:hAnsi="Arial" w:cs="Arial"/>
                <w:sz w:val="16"/>
                <w:szCs w:val="16"/>
              </w:rPr>
              <w:t xml:space="preserve"> </w:t>
            </w:r>
            <w:r w:rsidR="0060118A" w:rsidRPr="00EF22A1">
              <w:rPr>
                <w:rFonts w:ascii="Arial" w:hAnsi="Arial" w:cs="Arial"/>
                <w:sz w:val="16"/>
                <w:szCs w:val="16"/>
              </w:rPr>
              <w:t>0</w:t>
            </w:r>
          </w:p>
          <w:p w14:paraId="3B2B4287" w14:textId="55FF70F0" w:rsidR="00AF493D" w:rsidRPr="00F71698" w:rsidRDefault="00AF493D" w:rsidP="00D570C5">
            <w:pPr>
              <w:rPr>
                <w:rFonts w:ascii="Arial" w:hAnsi="Arial" w:cs="Arial"/>
                <w:sz w:val="16"/>
                <w:szCs w:val="16"/>
              </w:rPr>
            </w:pPr>
            <w:r w:rsidRPr="00F71698">
              <w:rPr>
                <w:rFonts w:ascii="Arial" w:hAnsi="Arial" w:cs="Arial"/>
                <w:sz w:val="16"/>
                <w:szCs w:val="16"/>
              </w:rPr>
              <w:t>Target:</w:t>
            </w:r>
            <w:r w:rsidR="0060118A">
              <w:rPr>
                <w:rFonts w:ascii="Arial" w:hAnsi="Arial" w:cs="Arial"/>
                <w:sz w:val="16"/>
                <w:szCs w:val="16"/>
              </w:rPr>
              <w:t xml:space="preserve"> </w:t>
            </w:r>
            <w:r w:rsidR="0060118A" w:rsidRPr="00EF22A1">
              <w:rPr>
                <w:rFonts w:ascii="Arial" w:hAnsi="Arial" w:cs="Arial"/>
                <w:sz w:val="16"/>
                <w:szCs w:val="16"/>
              </w:rPr>
              <w:t>15</w:t>
            </w:r>
            <w:r w:rsidR="0060118A">
              <w:rPr>
                <w:rFonts w:ascii="Arial" w:hAnsi="Arial" w:cs="Arial"/>
                <w:sz w:val="16"/>
                <w:szCs w:val="16"/>
              </w:rPr>
              <w:t xml:space="preserve"> municipal gender officers</w:t>
            </w:r>
          </w:p>
          <w:p w14:paraId="05A41BD9" w14:textId="77777777" w:rsidR="00AF493D" w:rsidRPr="00F71698" w:rsidRDefault="00AF493D" w:rsidP="00D570C5">
            <w:pPr>
              <w:rPr>
                <w:rFonts w:ascii="Arial" w:hAnsi="Arial" w:cs="Arial"/>
                <w:sz w:val="16"/>
                <w:szCs w:val="16"/>
              </w:rPr>
            </w:pPr>
          </w:p>
        </w:tc>
        <w:tc>
          <w:tcPr>
            <w:tcW w:w="1800" w:type="dxa"/>
            <w:shd w:val="clear" w:color="auto" w:fill="CCFFFF"/>
          </w:tcPr>
          <w:p w14:paraId="4EC42962" w14:textId="1C81B940" w:rsidR="0060118A" w:rsidRPr="00EF22A1" w:rsidRDefault="0060118A" w:rsidP="0060118A">
            <w:pPr>
              <w:rPr>
                <w:rFonts w:ascii="Arial" w:hAnsi="Arial" w:cs="Arial"/>
                <w:sz w:val="16"/>
                <w:szCs w:val="16"/>
              </w:rPr>
            </w:pPr>
            <w:r w:rsidRPr="00EF22A1">
              <w:rPr>
                <w:rFonts w:ascii="Arial" w:hAnsi="Arial" w:cs="Arial"/>
                <w:sz w:val="16"/>
                <w:szCs w:val="16"/>
              </w:rPr>
              <w:t xml:space="preserve">Project </w:t>
            </w:r>
            <w:r>
              <w:rPr>
                <w:rFonts w:ascii="Arial" w:hAnsi="Arial" w:cs="Arial"/>
                <w:sz w:val="16"/>
                <w:szCs w:val="16"/>
              </w:rPr>
              <w:t>records,</w:t>
            </w:r>
          </w:p>
          <w:p w14:paraId="5674807F" w14:textId="2CD7F95B" w:rsidR="0060118A" w:rsidRPr="00EF22A1" w:rsidRDefault="0060118A" w:rsidP="0060118A">
            <w:pPr>
              <w:rPr>
                <w:rFonts w:ascii="Arial" w:hAnsi="Arial" w:cs="Arial"/>
                <w:sz w:val="16"/>
                <w:szCs w:val="16"/>
              </w:rPr>
            </w:pPr>
            <w:r>
              <w:rPr>
                <w:rFonts w:ascii="Arial" w:hAnsi="Arial" w:cs="Arial"/>
                <w:sz w:val="16"/>
                <w:szCs w:val="16"/>
              </w:rPr>
              <w:t>Direct o</w:t>
            </w:r>
            <w:r w:rsidRPr="00EF22A1">
              <w:rPr>
                <w:rFonts w:ascii="Arial" w:hAnsi="Arial" w:cs="Arial"/>
                <w:sz w:val="16"/>
                <w:szCs w:val="16"/>
              </w:rPr>
              <w:t>bservations by UN Agencies</w:t>
            </w:r>
            <w:r>
              <w:rPr>
                <w:rFonts w:ascii="Arial" w:hAnsi="Arial" w:cs="Arial"/>
                <w:sz w:val="16"/>
                <w:szCs w:val="16"/>
              </w:rPr>
              <w:t>,</w:t>
            </w:r>
          </w:p>
          <w:p w14:paraId="4E72778E" w14:textId="5732E694" w:rsidR="0060118A" w:rsidRPr="00EF22A1" w:rsidRDefault="0060118A" w:rsidP="0060118A">
            <w:pPr>
              <w:rPr>
                <w:rFonts w:ascii="Arial" w:hAnsi="Arial" w:cs="Arial"/>
                <w:sz w:val="16"/>
                <w:szCs w:val="16"/>
              </w:rPr>
            </w:pPr>
            <w:r w:rsidRPr="00EF22A1">
              <w:rPr>
                <w:rFonts w:ascii="Arial" w:hAnsi="Arial" w:cs="Arial"/>
                <w:sz w:val="16"/>
                <w:szCs w:val="16"/>
              </w:rPr>
              <w:t>Regular project</w:t>
            </w:r>
          </w:p>
          <w:p w14:paraId="18616040" w14:textId="77777777" w:rsidR="0060118A" w:rsidRPr="00EF22A1" w:rsidRDefault="0060118A" w:rsidP="0060118A">
            <w:pPr>
              <w:rPr>
                <w:rFonts w:ascii="Arial" w:hAnsi="Arial" w:cs="Arial"/>
                <w:sz w:val="16"/>
                <w:szCs w:val="16"/>
              </w:rPr>
            </w:pPr>
            <w:r w:rsidRPr="00EF22A1">
              <w:rPr>
                <w:rFonts w:ascii="Arial" w:hAnsi="Arial" w:cs="Arial"/>
                <w:sz w:val="16"/>
                <w:szCs w:val="16"/>
              </w:rPr>
              <w:t>monitoring visits to</w:t>
            </w:r>
          </w:p>
          <w:p w14:paraId="6AB62CAC" w14:textId="77777777" w:rsidR="0060118A" w:rsidRPr="00EF22A1" w:rsidRDefault="0060118A" w:rsidP="0060118A">
            <w:pPr>
              <w:rPr>
                <w:rFonts w:ascii="Arial" w:hAnsi="Arial" w:cs="Arial"/>
                <w:sz w:val="16"/>
                <w:szCs w:val="16"/>
              </w:rPr>
            </w:pPr>
            <w:r w:rsidRPr="00EF22A1">
              <w:rPr>
                <w:rFonts w:ascii="Arial" w:hAnsi="Arial" w:cs="Arial"/>
                <w:sz w:val="16"/>
                <w:szCs w:val="16"/>
              </w:rPr>
              <w:t>target municipalities</w:t>
            </w:r>
          </w:p>
          <w:p w14:paraId="03CD0F67" w14:textId="77777777" w:rsidR="00AF493D" w:rsidRPr="00F71698" w:rsidRDefault="00AF493D" w:rsidP="00D570C5">
            <w:pPr>
              <w:rPr>
                <w:rFonts w:ascii="Arial" w:hAnsi="Arial" w:cs="Arial"/>
                <w:sz w:val="16"/>
                <w:szCs w:val="16"/>
              </w:rPr>
            </w:pPr>
          </w:p>
        </w:tc>
        <w:tc>
          <w:tcPr>
            <w:tcW w:w="2857" w:type="dxa"/>
            <w:shd w:val="clear" w:color="auto" w:fill="CCFFFF"/>
          </w:tcPr>
          <w:p w14:paraId="4FAA8089" w14:textId="430EBE66" w:rsidR="006B20B8" w:rsidRDefault="006B20B8" w:rsidP="006B20B8">
            <w:pPr>
              <w:rPr>
                <w:rFonts w:ascii="Arial" w:hAnsi="Arial" w:cs="Arial"/>
                <w:sz w:val="16"/>
                <w:szCs w:val="16"/>
              </w:rPr>
            </w:pPr>
            <w:r w:rsidRPr="000D4EA4">
              <w:rPr>
                <w:rFonts w:ascii="Arial" w:hAnsi="Arial" w:cs="Arial"/>
                <w:sz w:val="16"/>
                <w:szCs w:val="16"/>
              </w:rPr>
              <w:t xml:space="preserve">After 12 months: </w:t>
            </w:r>
            <w:r w:rsidR="00E017D2">
              <w:rPr>
                <w:rFonts w:ascii="Arial" w:hAnsi="Arial" w:cs="Arial"/>
                <w:sz w:val="16"/>
                <w:szCs w:val="16"/>
              </w:rPr>
              <w:t>10</w:t>
            </w:r>
          </w:p>
          <w:p w14:paraId="6CD4A567" w14:textId="272C3460" w:rsidR="00AF493D" w:rsidRPr="00F71698" w:rsidRDefault="006B20B8" w:rsidP="006B20B8">
            <w:pPr>
              <w:rPr>
                <w:rFonts w:ascii="Arial" w:hAnsi="Arial" w:cs="Arial"/>
                <w:sz w:val="16"/>
                <w:szCs w:val="16"/>
              </w:rPr>
            </w:pPr>
            <w:r w:rsidRPr="000D4EA4">
              <w:rPr>
                <w:rFonts w:ascii="Arial" w:hAnsi="Arial" w:cs="Arial"/>
                <w:sz w:val="16"/>
                <w:szCs w:val="16"/>
              </w:rPr>
              <w:t>By the end of the project:</w:t>
            </w:r>
            <w:r w:rsidR="00E017D2">
              <w:rPr>
                <w:rFonts w:ascii="Arial" w:hAnsi="Arial" w:cs="Arial"/>
                <w:sz w:val="16"/>
                <w:szCs w:val="16"/>
              </w:rPr>
              <w:t xml:space="preserve"> 15</w:t>
            </w:r>
          </w:p>
        </w:tc>
      </w:tr>
      <w:tr w:rsidR="0060118A" w:rsidRPr="00F71698" w14:paraId="4658226A" w14:textId="77777777" w:rsidTr="0060118A">
        <w:trPr>
          <w:trHeight w:val="1133"/>
        </w:trPr>
        <w:tc>
          <w:tcPr>
            <w:tcW w:w="2425" w:type="dxa"/>
            <w:vMerge/>
            <w:shd w:val="clear" w:color="auto" w:fill="FFFF99"/>
          </w:tcPr>
          <w:p w14:paraId="7A5D8522" w14:textId="77777777" w:rsidR="0060118A" w:rsidRPr="00F71698" w:rsidRDefault="0060118A" w:rsidP="0060118A">
            <w:pPr>
              <w:rPr>
                <w:rFonts w:ascii="Arial" w:hAnsi="Arial" w:cs="Arial"/>
                <w:sz w:val="16"/>
                <w:szCs w:val="16"/>
              </w:rPr>
            </w:pPr>
          </w:p>
        </w:tc>
        <w:tc>
          <w:tcPr>
            <w:tcW w:w="3263" w:type="dxa"/>
            <w:vMerge/>
            <w:shd w:val="clear" w:color="auto" w:fill="CCFFFF"/>
          </w:tcPr>
          <w:p w14:paraId="70C95911" w14:textId="77777777" w:rsidR="0060118A" w:rsidRPr="00F71698" w:rsidRDefault="0060118A" w:rsidP="0060118A">
            <w:pPr>
              <w:rPr>
                <w:rFonts w:ascii="Arial" w:hAnsi="Arial" w:cs="Arial"/>
                <w:sz w:val="16"/>
                <w:szCs w:val="16"/>
              </w:rPr>
            </w:pPr>
          </w:p>
        </w:tc>
        <w:tc>
          <w:tcPr>
            <w:tcW w:w="3780" w:type="dxa"/>
            <w:shd w:val="clear" w:color="auto" w:fill="CCFFFF"/>
          </w:tcPr>
          <w:p w14:paraId="736E4F16" w14:textId="77777777" w:rsidR="0060118A" w:rsidRPr="00F71698" w:rsidRDefault="0060118A" w:rsidP="0060118A">
            <w:pPr>
              <w:rPr>
                <w:rFonts w:ascii="Arial" w:hAnsi="Arial" w:cs="Arial"/>
                <w:sz w:val="16"/>
                <w:szCs w:val="16"/>
              </w:rPr>
            </w:pPr>
            <w:r w:rsidRPr="00F71698">
              <w:rPr>
                <w:rFonts w:ascii="Arial" w:hAnsi="Arial" w:cs="Arial"/>
                <w:sz w:val="16"/>
                <w:szCs w:val="16"/>
              </w:rPr>
              <w:t>Output Indicator 1.3.2</w:t>
            </w:r>
          </w:p>
          <w:p w14:paraId="0D99AF9D" w14:textId="47ECEC07" w:rsidR="0060118A" w:rsidRDefault="00E017D2" w:rsidP="0060118A">
            <w:pPr>
              <w:rPr>
                <w:rFonts w:ascii="Arial" w:hAnsi="Arial" w:cs="Arial"/>
                <w:sz w:val="16"/>
                <w:szCs w:val="16"/>
              </w:rPr>
            </w:pPr>
            <w:r>
              <w:rPr>
                <w:rFonts w:ascii="Arial" w:hAnsi="Arial" w:cs="Arial"/>
                <w:sz w:val="16"/>
                <w:szCs w:val="16"/>
              </w:rPr>
              <w:t>Number of CSOs and women groups in s</w:t>
            </w:r>
            <w:r w:rsidR="00721F40">
              <w:rPr>
                <w:rFonts w:ascii="Arial" w:hAnsi="Arial" w:cs="Arial"/>
                <w:sz w:val="16"/>
                <w:szCs w:val="16"/>
              </w:rPr>
              <w:t>elected municipalities have str</w:t>
            </w:r>
            <w:r>
              <w:rPr>
                <w:rFonts w:ascii="Arial" w:hAnsi="Arial" w:cs="Arial"/>
                <w:sz w:val="16"/>
                <w:szCs w:val="16"/>
              </w:rPr>
              <w:t>onger capacities as peacebuilding actors</w:t>
            </w:r>
          </w:p>
          <w:p w14:paraId="69DCEEB5" w14:textId="77777777" w:rsidR="0060118A" w:rsidRPr="00F71698" w:rsidRDefault="0060118A" w:rsidP="0060118A">
            <w:pPr>
              <w:rPr>
                <w:rFonts w:ascii="Arial" w:hAnsi="Arial" w:cs="Arial"/>
                <w:sz w:val="16"/>
                <w:szCs w:val="16"/>
              </w:rPr>
            </w:pPr>
          </w:p>
          <w:p w14:paraId="5BBE8F5C" w14:textId="5E1D59C6" w:rsidR="0060118A" w:rsidRPr="00F71698" w:rsidRDefault="0060118A" w:rsidP="0060118A">
            <w:pPr>
              <w:rPr>
                <w:rFonts w:ascii="Arial" w:hAnsi="Arial" w:cs="Arial"/>
                <w:sz w:val="16"/>
                <w:szCs w:val="16"/>
              </w:rPr>
            </w:pPr>
            <w:r w:rsidRPr="00F71698">
              <w:rPr>
                <w:rFonts w:ascii="Arial" w:hAnsi="Arial" w:cs="Arial"/>
                <w:sz w:val="16"/>
                <w:szCs w:val="16"/>
              </w:rPr>
              <w:t>Baseline:</w:t>
            </w:r>
            <w:r w:rsidRPr="00EF22A1">
              <w:rPr>
                <w:rFonts w:ascii="Arial" w:hAnsi="Arial" w:cs="Arial"/>
                <w:sz w:val="16"/>
                <w:szCs w:val="16"/>
              </w:rPr>
              <w:t xml:space="preserve"> </w:t>
            </w:r>
            <w:r w:rsidR="00E017D2">
              <w:rPr>
                <w:rFonts w:ascii="Arial" w:hAnsi="Arial" w:cs="Arial"/>
                <w:sz w:val="16"/>
                <w:szCs w:val="16"/>
              </w:rPr>
              <w:t>0</w:t>
            </w:r>
          </w:p>
          <w:p w14:paraId="388EB50F" w14:textId="6E51F263" w:rsidR="0060118A" w:rsidRPr="00F71698" w:rsidRDefault="0060118A" w:rsidP="0060118A">
            <w:pPr>
              <w:rPr>
                <w:rFonts w:ascii="Arial" w:hAnsi="Arial" w:cs="Arial"/>
                <w:sz w:val="16"/>
                <w:szCs w:val="16"/>
              </w:rPr>
            </w:pPr>
            <w:r w:rsidRPr="00F71698">
              <w:rPr>
                <w:rFonts w:ascii="Arial" w:hAnsi="Arial" w:cs="Arial"/>
                <w:sz w:val="16"/>
                <w:szCs w:val="16"/>
              </w:rPr>
              <w:t>Target:</w:t>
            </w:r>
            <w:r w:rsidRPr="00EF22A1">
              <w:rPr>
                <w:rFonts w:ascii="Arial" w:hAnsi="Arial" w:cs="Arial"/>
                <w:sz w:val="16"/>
                <w:szCs w:val="16"/>
              </w:rPr>
              <w:t xml:space="preserve"> </w:t>
            </w:r>
            <w:r w:rsidR="00E017D2">
              <w:rPr>
                <w:rFonts w:ascii="Arial" w:hAnsi="Arial" w:cs="Arial"/>
                <w:sz w:val="16"/>
                <w:szCs w:val="16"/>
              </w:rPr>
              <w:t>30</w:t>
            </w:r>
          </w:p>
          <w:p w14:paraId="776ADAC8" w14:textId="77777777" w:rsidR="0060118A" w:rsidRPr="00F71698" w:rsidRDefault="0060118A" w:rsidP="0060118A">
            <w:pPr>
              <w:rPr>
                <w:rFonts w:ascii="Arial" w:hAnsi="Arial" w:cs="Arial"/>
                <w:sz w:val="16"/>
                <w:szCs w:val="16"/>
              </w:rPr>
            </w:pPr>
          </w:p>
        </w:tc>
        <w:tc>
          <w:tcPr>
            <w:tcW w:w="1800" w:type="dxa"/>
            <w:shd w:val="clear" w:color="auto" w:fill="CCFFFF"/>
          </w:tcPr>
          <w:p w14:paraId="0C095398" w14:textId="77777777" w:rsidR="006B20B8" w:rsidRPr="00EF22A1" w:rsidRDefault="006B20B8" w:rsidP="006B20B8">
            <w:pPr>
              <w:rPr>
                <w:rFonts w:ascii="Arial" w:hAnsi="Arial" w:cs="Arial"/>
                <w:sz w:val="16"/>
                <w:szCs w:val="16"/>
              </w:rPr>
            </w:pPr>
            <w:r>
              <w:rPr>
                <w:rFonts w:ascii="Arial" w:hAnsi="Arial" w:cs="Arial"/>
                <w:sz w:val="16"/>
                <w:szCs w:val="16"/>
              </w:rPr>
              <w:t>Project r</w:t>
            </w:r>
            <w:r w:rsidRPr="00EF22A1">
              <w:rPr>
                <w:rFonts w:ascii="Arial" w:hAnsi="Arial" w:cs="Arial"/>
                <w:sz w:val="16"/>
                <w:szCs w:val="16"/>
              </w:rPr>
              <w:t>eports to monitor the progress and alert counterparts on the need for adjustment of support provided</w:t>
            </w:r>
            <w:r>
              <w:rPr>
                <w:rFonts w:ascii="Arial" w:hAnsi="Arial" w:cs="Arial"/>
                <w:sz w:val="16"/>
                <w:szCs w:val="16"/>
              </w:rPr>
              <w:t xml:space="preserve">, </w:t>
            </w:r>
            <w:r w:rsidRPr="00EF22A1">
              <w:rPr>
                <w:rFonts w:ascii="Arial" w:hAnsi="Arial" w:cs="Arial"/>
                <w:sz w:val="16"/>
                <w:szCs w:val="16"/>
              </w:rPr>
              <w:t>Participants list</w:t>
            </w:r>
            <w:r>
              <w:rPr>
                <w:rFonts w:ascii="Arial" w:hAnsi="Arial" w:cs="Arial"/>
                <w:sz w:val="16"/>
                <w:szCs w:val="16"/>
              </w:rPr>
              <w:t>s,</w:t>
            </w:r>
            <w:r w:rsidRPr="00EF22A1">
              <w:rPr>
                <w:rFonts w:ascii="Arial" w:hAnsi="Arial" w:cs="Arial"/>
                <w:sz w:val="16"/>
                <w:szCs w:val="16"/>
              </w:rPr>
              <w:t xml:space="preserve"> Regular </w:t>
            </w:r>
            <w:r>
              <w:rPr>
                <w:rFonts w:ascii="Arial" w:hAnsi="Arial" w:cs="Arial"/>
                <w:sz w:val="16"/>
                <w:szCs w:val="16"/>
              </w:rPr>
              <w:t>p</w:t>
            </w:r>
            <w:r w:rsidRPr="00EF22A1">
              <w:rPr>
                <w:rFonts w:ascii="Arial" w:hAnsi="Arial" w:cs="Arial"/>
                <w:sz w:val="16"/>
                <w:szCs w:val="16"/>
              </w:rPr>
              <w:t xml:space="preserve">roject </w:t>
            </w:r>
            <w:r>
              <w:rPr>
                <w:rFonts w:ascii="Arial" w:hAnsi="Arial" w:cs="Arial"/>
                <w:sz w:val="16"/>
                <w:szCs w:val="16"/>
              </w:rPr>
              <w:t>m</w:t>
            </w:r>
            <w:r w:rsidRPr="00EF22A1">
              <w:rPr>
                <w:rFonts w:ascii="Arial" w:hAnsi="Arial" w:cs="Arial"/>
                <w:sz w:val="16"/>
                <w:szCs w:val="16"/>
              </w:rPr>
              <w:t xml:space="preserve">onitoring </w:t>
            </w:r>
            <w:r>
              <w:rPr>
                <w:rFonts w:ascii="Arial" w:hAnsi="Arial" w:cs="Arial"/>
                <w:sz w:val="16"/>
                <w:szCs w:val="16"/>
              </w:rPr>
              <w:t>v</w:t>
            </w:r>
            <w:r w:rsidRPr="00EF22A1">
              <w:rPr>
                <w:rFonts w:ascii="Arial" w:hAnsi="Arial" w:cs="Arial"/>
                <w:sz w:val="16"/>
                <w:szCs w:val="16"/>
              </w:rPr>
              <w:t xml:space="preserve">isits to target </w:t>
            </w:r>
            <w:r>
              <w:rPr>
                <w:rFonts w:ascii="Arial" w:hAnsi="Arial" w:cs="Arial"/>
                <w:sz w:val="16"/>
                <w:szCs w:val="16"/>
              </w:rPr>
              <w:t>m</w:t>
            </w:r>
            <w:r w:rsidRPr="00EF22A1">
              <w:rPr>
                <w:rFonts w:ascii="Arial" w:hAnsi="Arial" w:cs="Arial"/>
                <w:sz w:val="16"/>
                <w:szCs w:val="16"/>
              </w:rPr>
              <w:t xml:space="preserve">unicipalities </w:t>
            </w:r>
          </w:p>
          <w:p w14:paraId="5958235D" w14:textId="77777777" w:rsidR="0060118A" w:rsidRPr="00EF22A1" w:rsidRDefault="0060118A" w:rsidP="0060118A">
            <w:pPr>
              <w:rPr>
                <w:rFonts w:ascii="Arial" w:hAnsi="Arial" w:cs="Arial"/>
                <w:sz w:val="16"/>
                <w:szCs w:val="16"/>
              </w:rPr>
            </w:pPr>
          </w:p>
        </w:tc>
        <w:tc>
          <w:tcPr>
            <w:tcW w:w="2857" w:type="dxa"/>
            <w:shd w:val="clear" w:color="auto" w:fill="CCFFFF"/>
          </w:tcPr>
          <w:p w14:paraId="4720BF15" w14:textId="584792D5" w:rsidR="00E017D2" w:rsidRDefault="006B20B8" w:rsidP="006B20B8">
            <w:pPr>
              <w:rPr>
                <w:rFonts w:ascii="Arial" w:hAnsi="Arial" w:cs="Arial"/>
                <w:sz w:val="16"/>
                <w:szCs w:val="16"/>
              </w:rPr>
            </w:pPr>
            <w:r w:rsidRPr="000D4EA4">
              <w:rPr>
                <w:rFonts w:ascii="Arial" w:hAnsi="Arial" w:cs="Arial"/>
                <w:sz w:val="16"/>
                <w:szCs w:val="16"/>
              </w:rPr>
              <w:t xml:space="preserve">After 12 months: </w:t>
            </w:r>
            <w:r w:rsidR="00E017D2">
              <w:rPr>
                <w:rFonts w:ascii="Arial" w:hAnsi="Arial" w:cs="Arial"/>
                <w:sz w:val="16"/>
                <w:szCs w:val="16"/>
              </w:rPr>
              <w:t>20</w:t>
            </w:r>
          </w:p>
          <w:p w14:paraId="1EE61E94" w14:textId="4CD8CFD1" w:rsidR="0060118A" w:rsidRDefault="006B20B8" w:rsidP="006B20B8">
            <w:pPr>
              <w:rPr>
                <w:rFonts w:ascii="Arial" w:hAnsi="Arial" w:cs="Arial"/>
                <w:sz w:val="16"/>
                <w:szCs w:val="16"/>
              </w:rPr>
            </w:pPr>
            <w:r w:rsidRPr="000D4EA4">
              <w:rPr>
                <w:rFonts w:ascii="Arial" w:hAnsi="Arial" w:cs="Arial"/>
                <w:sz w:val="16"/>
                <w:szCs w:val="16"/>
              </w:rPr>
              <w:t>By the end of the project:</w:t>
            </w:r>
            <w:r w:rsidR="00E017D2">
              <w:rPr>
                <w:rFonts w:ascii="Arial" w:hAnsi="Arial" w:cs="Arial"/>
                <w:sz w:val="16"/>
                <w:szCs w:val="16"/>
              </w:rPr>
              <w:t xml:space="preserve"> 30</w:t>
            </w:r>
          </w:p>
          <w:p w14:paraId="2551989A" w14:textId="6C51F30D" w:rsidR="00E017D2" w:rsidRPr="000D4EA4" w:rsidRDefault="00E017D2" w:rsidP="006B20B8">
            <w:pPr>
              <w:rPr>
                <w:rFonts w:ascii="Arial" w:hAnsi="Arial" w:cs="Arial"/>
                <w:sz w:val="16"/>
                <w:szCs w:val="16"/>
              </w:rPr>
            </w:pPr>
          </w:p>
        </w:tc>
      </w:tr>
      <w:tr w:rsidR="0060118A" w:rsidRPr="00F71698" w14:paraId="3B791920" w14:textId="77777777" w:rsidTr="0060118A">
        <w:trPr>
          <w:trHeight w:val="1133"/>
        </w:trPr>
        <w:tc>
          <w:tcPr>
            <w:tcW w:w="2425" w:type="dxa"/>
            <w:vMerge/>
            <w:shd w:val="clear" w:color="auto" w:fill="FFFF99"/>
          </w:tcPr>
          <w:p w14:paraId="53E941EC" w14:textId="77777777" w:rsidR="0060118A" w:rsidRPr="00F71698" w:rsidRDefault="0060118A" w:rsidP="0060118A">
            <w:pPr>
              <w:rPr>
                <w:rFonts w:ascii="Arial" w:hAnsi="Arial" w:cs="Arial"/>
                <w:sz w:val="16"/>
                <w:szCs w:val="16"/>
              </w:rPr>
            </w:pPr>
          </w:p>
        </w:tc>
        <w:tc>
          <w:tcPr>
            <w:tcW w:w="3263" w:type="dxa"/>
            <w:vMerge/>
            <w:shd w:val="clear" w:color="auto" w:fill="CCFFFF"/>
          </w:tcPr>
          <w:p w14:paraId="3692E85B" w14:textId="77777777" w:rsidR="0060118A" w:rsidRPr="00F71698" w:rsidRDefault="0060118A" w:rsidP="0060118A">
            <w:pPr>
              <w:rPr>
                <w:rFonts w:ascii="Arial" w:hAnsi="Arial" w:cs="Arial"/>
                <w:sz w:val="16"/>
                <w:szCs w:val="16"/>
              </w:rPr>
            </w:pPr>
          </w:p>
        </w:tc>
        <w:tc>
          <w:tcPr>
            <w:tcW w:w="3780" w:type="dxa"/>
            <w:shd w:val="clear" w:color="auto" w:fill="CCFFFF"/>
          </w:tcPr>
          <w:p w14:paraId="5305162B" w14:textId="0C3D1712" w:rsidR="0060118A" w:rsidRPr="00EF22A1" w:rsidRDefault="0060118A" w:rsidP="0060118A">
            <w:pPr>
              <w:rPr>
                <w:rFonts w:ascii="Arial" w:hAnsi="Arial" w:cs="Arial"/>
                <w:sz w:val="16"/>
                <w:szCs w:val="16"/>
              </w:rPr>
            </w:pPr>
            <w:r w:rsidRPr="00EF22A1">
              <w:rPr>
                <w:rFonts w:ascii="Arial" w:hAnsi="Arial" w:cs="Arial"/>
                <w:sz w:val="16"/>
                <w:szCs w:val="16"/>
              </w:rPr>
              <w:t>Output Indicator 1.3.3</w:t>
            </w:r>
          </w:p>
          <w:p w14:paraId="0530615E" w14:textId="77777777" w:rsidR="0060118A" w:rsidRPr="00EF22A1" w:rsidRDefault="0060118A" w:rsidP="0060118A">
            <w:pPr>
              <w:rPr>
                <w:rFonts w:ascii="Arial" w:hAnsi="Arial" w:cs="Arial"/>
                <w:sz w:val="16"/>
                <w:szCs w:val="16"/>
              </w:rPr>
            </w:pPr>
            <w:r w:rsidRPr="00EF22A1">
              <w:rPr>
                <w:rFonts w:ascii="Arial" w:hAnsi="Arial" w:cs="Arial"/>
                <w:sz w:val="16"/>
                <w:szCs w:val="16"/>
              </w:rPr>
              <w:t>Number of women from target communities having received training on meaningful youth engagement in post-conflict setting/peacebuilding by UN Women</w:t>
            </w:r>
          </w:p>
          <w:p w14:paraId="2C13FC49" w14:textId="77777777" w:rsidR="0060118A" w:rsidRPr="00EF22A1" w:rsidRDefault="0060118A" w:rsidP="0060118A">
            <w:pPr>
              <w:rPr>
                <w:rFonts w:ascii="Arial" w:hAnsi="Arial" w:cs="Arial"/>
                <w:sz w:val="16"/>
                <w:szCs w:val="16"/>
              </w:rPr>
            </w:pPr>
          </w:p>
          <w:p w14:paraId="15C24BA6" w14:textId="77777777" w:rsidR="0060118A" w:rsidRPr="00EF22A1" w:rsidRDefault="0060118A" w:rsidP="0060118A">
            <w:pPr>
              <w:rPr>
                <w:rFonts w:ascii="Arial" w:hAnsi="Arial" w:cs="Arial"/>
                <w:sz w:val="16"/>
                <w:szCs w:val="16"/>
              </w:rPr>
            </w:pPr>
            <w:r w:rsidRPr="00EF22A1">
              <w:rPr>
                <w:rFonts w:ascii="Arial" w:hAnsi="Arial" w:cs="Arial"/>
                <w:sz w:val="16"/>
                <w:szCs w:val="16"/>
              </w:rPr>
              <w:t>Baseline: 0</w:t>
            </w:r>
          </w:p>
          <w:p w14:paraId="699AA617" w14:textId="77777777" w:rsidR="0060118A" w:rsidRDefault="0060118A" w:rsidP="0060118A">
            <w:pPr>
              <w:rPr>
                <w:rFonts w:ascii="Arial" w:hAnsi="Arial" w:cs="Arial"/>
                <w:sz w:val="16"/>
                <w:szCs w:val="16"/>
              </w:rPr>
            </w:pPr>
            <w:r w:rsidRPr="00EF22A1">
              <w:rPr>
                <w:rFonts w:ascii="Arial" w:hAnsi="Arial" w:cs="Arial"/>
                <w:sz w:val="16"/>
                <w:szCs w:val="16"/>
              </w:rPr>
              <w:t xml:space="preserve">Target: 150 </w:t>
            </w:r>
            <w:r>
              <w:rPr>
                <w:rFonts w:ascii="Arial" w:hAnsi="Arial" w:cs="Arial"/>
                <w:sz w:val="16"/>
                <w:szCs w:val="16"/>
              </w:rPr>
              <w:t>women</w:t>
            </w:r>
          </w:p>
          <w:p w14:paraId="3CE8BAEF" w14:textId="79EBE41A" w:rsidR="0060118A" w:rsidRPr="00F71698" w:rsidRDefault="0060118A" w:rsidP="0060118A">
            <w:pPr>
              <w:rPr>
                <w:rFonts w:ascii="Arial" w:hAnsi="Arial" w:cs="Arial"/>
                <w:sz w:val="16"/>
                <w:szCs w:val="16"/>
              </w:rPr>
            </w:pPr>
          </w:p>
        </w:tc>
        <w:tc>
          <w:tcPr>
            <w:tcW w:w="1800" w:type="dxa"/>
            <w:shd w:val="clear" w:color="auto" w:fill="CCFFFF"/>
          </w:tcPr>
          <w:p w14:paraId="47582E6D" w14:textId="7222A6EF" w:rsidR="0060118A" w:rsidRPr="00EF22A1" w:rsidRDefault="006B20B8" w:rsidP="0060118A">
            <w:pPr>
              <w:rPr>
                <w:rFonts w:ascii="Arial" w:hAnsi="Arial" w:cs="Arial"/>
                <w:sz w:val="16"/>
                <w:szCs w:val="16"/>
              </w:rPr>
            </w:pPr>
            <w:r w:rsidRPr="00EF22A1">
              <w:rPr>
                <w:rFonts w:ascii="Arial" w:hAnsi="Arial" w:cs="Arial"/>
                <w:sz w:val="16"/>
                <w:szCs w:val="16"/>
              </w:rPr>
              <w:t>Direct observation by</w:t>
            </w:r>
            <w:r>
              <w:rPr>
                <w:rFonts w:ascii="Arial" w:hAnsi="Arial" w:cs="Arial"/>
                <w:sz w:val="16"/>
                <w:szCs w:val="16"/>
              </w:rPr>
              <w:t xml:space="preserve"> the project</w:t>
            </w:r>
            <w:r w:rsidRPr="00EF22A1">
              <w:rPr>
                <w:rFonts w:ascii="Arial" w:hAnsi="Arial" w:cs="Arial"/>
                <w:sz w:val="16"/>
                <w:szCs w:val="16"/>
              </w:rPr>
              <w:t xml:space="preserve"> team</w:t>
            </w:r>
            <w:r>
              <w:rPr>
                <w:rFonts w:ascii="Arial" w:hAnsi="Arial" w:cs="Arial"/>
                <w:sz w:val="16"/>
                <w:szCs w:val="16"/>
              </w:rPr>
              <w:t xml:space="preserve">, </w:t>
            </w:r>
            <w:r w:rsidRPr="00EF22A1">
              <w:rPr>
                <w:rFonts w:ascii="Arial" w:hAnsi="Arial" w:cs="Arial"/>
                <w:sz w:val="16"/>
                <w:szCs w:val="16"/>
              </w:rPr>
              <w:t>Participants lists</w:t>
            </w:r>
            <w:r>
              <w:rPr>
                <w:rFonts w:ascii="Arial" w:hAnsi="Arial" w:cs="Arial"/>
                <w:sz w:val="16"/>
                <w:szCs w:val="16"/>
              </w:rPr>
              <w:t>, U-R</w:t>
            </w:r>
            <w:r w:rsidRPr="00EF22A1">
              <w:rPr>
                <w:rFonts w:ascii="Arial" w:hAnsi="Arial" w:cs="Arial"/>
                <w:sz w:val="16"/>
                <w:szCs w:val="16"/>
              </w:rPr>
              <w:t>eport</w:t>
            </w:r>
            <w:r>
              <w:rPr>
                <w:rFonts w:ascii="Arial" w:hAnsi="Arial" w:cs="Arial"/>
                <w:sz w:val="16"/>
                <w:szCs w:val="16"/>
              </w:rPr>
              <w:t xml:space="preserve">, </w:t>
            </w:r>
            <w:r w:rsidRPr="00EF22A1">
              <w:rPr>
                <w:rFonts w:ascii="Arial" w:hAnsi="Arial" w:cs="Arial"/>
                <w:sz w:val="16"/>
                <w:szCs w:val="16"/>
              </w:rPr>
              <w:t xml:space="preserve">Surveys following training </w:t>
            </w:r>
          </w:p>
        </w:tc>
        <w:tc>
          <w:tcPr>
            <w:tcW w:w="2857" w:type="dxa"/>
            <w:shd w:val="clear" w:color="auto" w:fill="CCFFFF"/>
          </w:tcPr>
          <w:p w14:paraId="4E038D4D" w14:textId="400F139B" w:rsidR="006B20B8" w:rsidRDefault="006B20B8" w:rsidP="006B20B8">
            <w:pPr>
              <w:rPr>
                <w:rFonts w:ascii="Arial" w:hAnsi="Arial" w:cs="Arial"/>
                <w:sz w:val="16"/>
                <w:szCs w:val="16"/>
              </w:rPr>
            </w:pPr>
            <w:r w:rsidRPr="000D4EA4">
              <w:rPr>
                <w:rFonts w:ascii="Arial" w:hAnsi="Arial" w:cs="Arial"/>
                <w:sz w:val="16"/>
                <w:szCs w:val="16"/>
              </w:rPr>
              <w:t xml:space="preserve">After 12 months: </w:t>
            </w:r>
            <w:r w:rsidR="00113AFB">
              <w:rPr>
                <w:rFonts w:ascii="Arial" w:hAnsi="Arial" w:cs="Arial"/>
                <w:sz w:val="16"/>
                <w:szCs w:val="16"/>
              </w:rPr>
              <w:t>100</w:t>
            </w:r>
          </w:p>
          <w:p w14:paraId="1CF9F001" w14:textId="6D8103D7" w:rsidR="00113AFB" w:rsidRPr="000D4EA4" w:rsidRDefault="006B20B8" w:rsidP="006B20B8">
            <w:pPr>
              <w:rPr>
                <w:rFonts w:ascii="Arial" w:hAnsi="Arial" w:cs="Arial"/>
                <w:sz w:val="16"/>
                <w:szCs w:val="16"/>
              </w:rPr>
            </w:pPr>
            <w:r w:rsidRPr="000D4EA4">
              <w:rPr>
                <w:rFonts w:ascii="Arial" w:hAnsi="Arial" w:cs="Arial"/>
                <w:sz w:val="16"/>
                <w:szCs w:val="16"/>
              </w:rPr>
              <w:t>By the end of the project:</w:t>
            </w:r>
            <w:r w:rsidR="00113AFB">
              <w:rPr>
                <w:rFonts w:ascii="Arial" w:hAnsi="Arial" w:cs="Arial"/>
                <w:sz w:val="16"/>
                <w:szCs w:val="16"/>
              </w:rPr>
              <w:t xml:space="preserve"> 150</w:t>
            </w:r>
          </w:p>
        </w:tc>
      </w:tr>
      <w:tr w:rsidR="0060118A" w:rsidRPr="00F71698" w14:paraId="7F22852D" w14:textId="77777777" w:rsidTr="0060118A">
        <w:trPr>
          <w:trHeight w:val="1133"/>
        </w:trPr>
        <w:tc>
          <w:tcPr>
            <w:tcW w:w="2425" w:type="dxa"/>
            <w:vMerge/>
            <w:shd w:val="clear" w:color="auto" w:fill="FFFF99"/>
          </w:tcPr>
          <w:p w14:paraId="35DF75D4" w14:textId="77777777" w:rsidR="0060118A" w:rsidRPr="00F71698" w:rsidRDefault="0060118A" w:rsidP="0060118A">
            <w:pPr>
              <w:rPr>
                <w:rFonts w:ascii="Arial" w:hAnsi="Arial" w:cs="Arial"/>
                <w:sz w:val="16"/>
                <w:szCs w:val="16"/>
              </w:rPr>
            </w:pPr>
          </w:p>
        </w:tc>
        <w:tc>
          <w:tcPr>
            <w:tcW w:w="3263" w:type="dxa"/>
            <w:vMerge/>
            <w:shd w:val="clear" w:color="auto" w:fill="CCFFFF"/>
          </w:tcPr>
          <w:p w14:paraId="58B81297" w14:textId="77777777" w:rsidR="0060118A" w:rsidRPr="00F71698" w:rsidRDefault="0060118A" w:rsidP="0060118A">
            <w:pPr>
              <w:rPr>
                <w:rFonts w:ascii="Arial" w:hAnsi="Arial" w:cs="Arial"/>
                <w:sz w:val="16"/>
                <w:szCs w:val="16"/>
              </w:rPr>
            </w:pPr>
          </w:p>
        </w:tc>
        <w:tc>
          <w:tcPr>
            <w:tcW w:w="3780" w:type="dxa"/>
            <w:shd w:val="clear" w:color="auto" w:fill="CCFFFF"/>
          </w:tcPr>
          <w:p w14:paraId="633D4DDE" w14:textId="129DABB8" w:rsidR="0060118A" w:rsidRPr="00EF22A1" w:rsidRDefault="006B20B8" w:rsidP="0060118A">
            <w:pPr>
              <w:rPr>
                <w:rFonts w:ascii="Arial" w:hAnsi="Arial" w:cs="Arial"/>
                <w:sz w:val="16"/>
                <w:szCs w:val="16"/>
              </w:rPr>
            </w:pPr>
            <w:r>
              <w:rPr>
                <w:rFonts w:ascii="Arial" w:hAnsi="Arial" w:cs="Arial"/>
                <w:sz w:val="16"/>
                <w:szCs w:val="16"/>
              </w:rPr>
              <w:t>Output Indicator 1.3.4</w:t>
            </w:r>
          </w:p>
          <w:p w14:paraId="7A1A220F" w14:textId="77777777" w:rsidR="0060118A" w:rsidRPr="00EF22A1" w:rsidRDefault="0060118A" w:rsidP="0060118A">
            <w:pPr>
              <w:rPr>
                <w:rFonts w:ascii="Arial" w:hAnsi="Arial" w:cs="Arial"/>
                <w:sz w:val="16"/>
                <w:szCs w:val="16"/>
              </w:rPr>
            </w:pPr>
            <w:r w:rsidRPr="0088593C">
              <w:rPr>
                <w:rFonts w:ascii="Arial" w:hAnsi="Arial" w:cs="Arial"/>
                <w:sz w:val="16"/>
                <w:szCs w:val="16"/>
              </w:rPr>
              <w:t>Number of advocacy initiatives aimed at increased women’s and youth’s inclusion in peacebuilding, with young women peacebuilders with UN Women support</w:t>
            </w:r>
          </w:p>
          <w:p w14:paraId="5799995A" w14:textId="77777777" w:rsidR="0060118A" w:rsidRPr="00EF22A1" w:rsidRDefault="0060118A" w:rsidP="0060118A">
            <w:pPr>
              <w:rPr>
                <w:rFonts w:ascii="Arial" w:hAnsi="Arial" w:cs="Arial"/>
                <w:sz w:val="16"/>
                <w:szCs w:val="16"/>
              </w:rPr>
            </w:pPr>
          </w:p>
          <w:p w14:paraId="3A9CEDEF" w14:textId="77777777" w:rsidR="0060118A" w:rsidRPr="00EF22A1" w:rsidRDefault="0060118A" w:rsidP="0060118A">
            <w:pPr>
              <w:rPr>
                <w:rFonts w:ascii="Arial" w:hAnsi="Arial" w:cs="Arial"/>
                <w:sz w:val="16"/>
                <w:szCs w:val="16"/>
              </w:rPr>
            </w:pPr>
            <w:r w:rsidRPr="00EF22A1">
              <w:rPr>
                <w:rFonts w:ascii="Arial" w:hAnsi="Arial" w:cs="Arial"/>
                <w:sz w:val="16"/>
                <w:szCs w:val="16"/>
              </w:rPr>
              <w:t>Baseline: 0</w:t>
            </w:r>
          </w:p>
          <w:p w14:paraId="28AE1D1F" w14:textId="0AB5E3C5" w:rsidR="0060118A" w:rsidRPr="00F71698" w:rsidRDefault="0060118A" w:rsidP="0060118A">
            <w:pPr>
              <w:rPr>
                <w:rFonts w:ascii="Arial" w:hAnsi="Arial" w:cs="Arial"/>
                <w:sz w:val="16"/>
                <w:szCs w:val="16"/>
              </w:rPr>
            </w:pPr>
            <w:r w:rsidRPr="00EF22A1">
              <w:rPr>
                <w:rFonts w:ascii="Arial" w:hAnsi="Arial" w:cs="Arial"/>
                <w:sz w:val="16"/>
                <w:szCs w:val="16"/>
              </w:rPr>
              <w:t>Target: 3</w:t>
            </w:r>
          </w:p>
        </w:tc>
        <w:tc>
          <w:tcPr>
            <w:tcW w:w="1800" w:type="dxa"/>
            <w:shd w:val="clear" w:color="auto" w:fill="CCFFFF"/>
          </w:tcPr>
          <w:p w14:paraId="5360310F" w14:textId="77777777" w:rsidR="006B20B8" w:rsidRPr="00EF22A1" w:rsidRDefault="006B20B8" w:rsidP="006B20B8">
            <w:pPr>
              <w:rPr>
                <w:rFonts w:ascii="Arial" w:hAnsi="Arial" w:cs="Arial"/>
                <w:sz w:val="16"/>
                <w:szCs w:val="16"/>
              </w:rPr>
            </w:pPr>
            <w:r w:rsidRPr="00EF22A1">
              <w:rPr>
                <w:rFonts w:ascii="Arial" w:hAnsi="Arial" w:cs="Arial"/>
                <w:sz w:val="16"/>
                <w:szCs w:val="16"/>
              </w:rPr>
              <w:t>Reports by project</w:t>
            </w:r>
            <w:r>
              <w:rPr>
                <w:rFonts w:ascii="Arial" w:hAnsi="Arial" w:cs="Arial"/>
                <w:sz w:val="16"/>
                <w:szCs w:val="16"/>
              </w:rPr>
              <w:t xml:space="preserve"> beneficiaries, </w:t>
            </w:r>
            <w:r w:rsidRPr="00EF22A1">
              <w:rPr>
                <w:rFonts w:ascii="Arial" w:hAnsi="Arial" w:cs="Arial"/>
                <w:sz w:val="16"/>
                <w:szCs w:val="16"/>
              </w:rPr>
              <w:t>Regular project</w:t>
            </w:r>
            <w:r>
              <w:rPr>
                <w:rFonts w:ascii="Arial" w:hAnsi="Arial" w:cs="Arial"/>
                <w:sz w:val="16"/>
                <w:szCs w:val="16"/>
              </w:rPr>
              <w:t xml:space="preserve"> </w:t>
            </w:r>
            <w:r w:rsidRPr="00EF22A1">
              <w:rPr>
                <w:rFonts w:ascii="Arial" w:hAnsi="Arial" w:cs="Arial"/>
                <w:sz w:val="16"/>
                <w:szCs w:val="16"/>
              </w:rPr>
              <w:t>monitoring visits to</w:t>
            </w:r>
            <w:r>
              <w:rPr>
                <w:rFonts w:ascii="Arial" w:hAnsi="Arial" w:cs="Arial"/>
                <w:sz w:val="16"/>
                <w:szCs w:val="16"/>
              </w:rPr>
              <w:t xml:space="preserve"> </w:t>
            </w:r>
            <w:r w:rsidRPr="00EF22A1">
              <w:rPr>
                <w:rFonts w:ascii="Arial" w:hAnsi="Arial" w:cs="Arial"/>
                <w:sz w:val="16"/>
                <w:szCs w:val="16"/>
              </w:rPr>
              <w:t>target locations</w:t>
            </w:r>
          </w:p>
          <w:p w14:paraId="3AA0082D" w14:textId="77777777" w:rsidR="0060118A" w:rsidRPr="00EF22A1" w:rsidRDefault="0060118A" w:rsidP="0060118A">
            <w:pPr>
              <w:rPr>
                <w:rFonts w:ascii="Arial" w:hAnsi="Arial" w:cs="Arial"/>
                <w:sz w:val="16"/>
                <w:szCs w:val="16"/>
              </w:rPr>
            </w:pPr>
          </w:p>
        </w:tc>
        <w:tc>
          <w:tcPr>
            <w:tcW w:w="2857" w:type="dxa"/>
            <w:shd w:val="clear" w:color="auto" w:fill="CCFFFF"/>
          </w:tcPr>
          <w:p w14:paraId="1ED8BE41" w14:textId="404CDB03" w:rsidR="006B20B8" w:rsidRDefault="006B20B8" w:rsidP="006B20B8">
            <w:pPr>
              <w:rPr>
                <w:rFonts w:ascii="Arial" w:hAnsi="Arial" w:cs="Arial"/>
                <w:sz w:val="16"/>
                <w:szCs w:val="16"/>
              </w:rPr>
            </w:pPr>
            <w:r w:rsidRPr="000D4EA4">
              <w:rPr>
                <w:rFonts w:ascii="Arial" w:hAnsi="Arial" w:cs="Arial"/>
                <w:sz w:val="16"/>
                <w:szCs w:val="16"/>
              </w:rPr>
              <w:t xml:space="preserve">After 12 months: </w:t>
            </w:r>
            <w:r w:rsidR="00113AFB">
              <w:rPr>
                <w:rFonts w:ascii="Arial" w:hAnsi="Arial" w:cs="Arial"/>
                <w:sz w:val="16"/>
                <w:szCs w:val="16"/>
              </w:rPr>
              <w:t>2</w:t>
            </w:r>
          </w:p>
          <w:p w14:paraId="28667EFD" w14:textId="47D10240" w:rsidR="00113AFB" w:rsidRPr="000D4EA4" w:rsidRDefault="006B20B8" w:rsidP="006B20B8">
            <w:pPr>
              <w:rPr>
                <w:rFonts w:ascii="Arial" w:hAnsi="Arial" w:cs="Arial"/>
                <w:sz w:val="16"/>
                <w:szCs w:val="16"/>
              </w:rPr>
            </w:pPr>
            <w:r w:rsidRPr="000D4EA4">
              <w:rPr>
                <w:rFonts w:ascii="Arial" w:hAnsi="Arial" w:cs="Arial"/>
                <w:sz w:val="16"/>
                <w:szCs w:val="16"/>
              </w:rPr>
              <w:t xml:space="preserve">By the end of the project: </w:t>
            </w:r>
            <w:r w:rsidR="00113AFB">
              <w:rPr>
                <w:rFonts w:ascii="Arial" w:hAnsi="Arial" w:cs="Arial"/>
                <w:sz w:val="16"/>
                <w:szCs w:val="16"/>
              </w:rPr>
              <w:t>3</w:t>
            </w:r>
          </w:p>
        </w:tc>
      </w:tr>
      <w:tr w:rsidR="0060118A" w:rsidRPr="00F71698" w14:paraId="15F116F7" w14:textId="77777777" w:rsidTr="0060118A">
        <w:trPr>
          <w:trHeight w:val="1133"/>
        </w:trPr>
        <w:tc>
          <w:tcPr>
            <w:tcW w:w="2425" w:type="dxa"/>
            <w:vMerge/>
            <w:shd w:val="clear" w:color="auto" w:fill="FFFF99"/>
          </w:tcPr>
          <w:p w14:paraId="57DFCDE6" w14:textId="77777777" w:rsidR="0060118A" w:rsidRPr="00F71698" w:rsidRDefault="0060118A" w:rsidP="0060118A">
            <w:pPr>
              <w:rPr>
                <w:rFonts w:ascii="Arial" w:hAnsi="Arial" w:cs="Arial"/>
                <w:sz w:val="16"/>
                <w:szCs w:val="16"/>
              </w:rPr>
            </w:pPr>
          </w:p>
        </w:tc>
        <w:tc>
          <w:tcPr>
            <w:tcW w:w="3263" w:type="dxa"/>
            <w:vMerge/>
            <w:shd w:val="clear" w:color="auto" w:fill="CCFFFF"/>
          </w:tcPr>
          <w:p w14:paraId="3FEAE119" w14:textId="77777777" w:rsidR="0060118A" w:rsidRPr="00F71698" w:rsidRDefault="0060118A" w:rsidP="0060118A">
            <w:pPr>
              <w:rPr>
                <w:rFonts w:ascii="Arial" w:hAnsi="Arial" w:cs="Arial"/>
                <w:sz w:val="16"/>
                <w:szCs w:val="16"/>
              </w:rPr>
            </w:pPr>
          </w:p>
        </w:tc>
        <w:tc>
          <w:tcPr>
            <w:tcW w:w="3780" w:type="dxa"/>
            <w:shd w:val="clear" w:color="auto" w:fill="CCFFFF"/>
          </w:tcPr>
          <w:p w14:paraId="02D41A75" w14:textId="5AB71E56" w:rsidR="0060118A" w:rsidRPr="00113AFB" w:rsidRDefault="006B20B8" w:rsidP="0060118A">
            <w:pPr>
              <w:rPr>
                <w:rFonts w:ascii="Arial" w:hAnsi="Arial" w:cs="Arial"/>
                <w:sz w:val="16"/>
                <w:szCs w:val="16"/>
              </w:rPr>
            </w:pPr>
            <w:r w:rsidRPr="00113AFB">
              <w:rPr>
                <w:rFonts w:ascii="Arial" w:hAnsi="Arial" w:cs="Arial"/>
                <w:sz w:val="16"/>
                <w:szCs w:val="16"/>
              </w:rPr>
              <w:t>Output Indicator 1.3.5</w:t>
            </w:r>
          </w:p>
          <w:p w14:paraId="1E07999A" w14:textId="77777777" w:rsidR="0060118A" w:rsidRPr="00113AFB" w:rsidRDefault="0060118A" w:rsidP="0060118A">
            <w:pPr>
              <w:rPr>
                <w:rFonts w:ascii="Arial" w:hAnsi="Arial" w:cs="Arial"/>
                <w:sz w:val="16"/>
                <w:szCs w:val="16"/>
              </w:rPr>
            </w:pPr>
            <w:r w:rsidRPr="00113AFB">
              <w:rPr>
                <w:rFonts w:ascii="Arial" w:hAnsi="Arial" w:cs="Arial"/>
                <w:sz w:val="16"/>
                <w:szCs w:val="16"/>
              </w:rPr>
              <w:t xml:space="preserve">Existence of a guideline on the role of media as an instrument of peace and conflict prevention and gender-responsive reporting </w:t>
            </w:r>
          </w:p>
          <w:p w14:paraId="249C6B09" w14:textId="77777777" w:rsidR="0060118A" w:rsidRPr="00113AFB" w:rsidRDefault="0060118A" w:rsidP="0060118A">
            <w:pPr>
              <w:rPr>
                <w:rFonts w:ascii="Arial" w:hAnsi="Arial" w:cs="Arial"/>
                <w:sz w:val="16"/>
                <w:szCs w:val="16"/>
              </w:rPr>
            </w:pPr>
          </w:p>
          <w:p w14:paraId="1FC30AB1" w14:textId="77777777" w:rsidR="0060118A" w:rsidRPr="00113AFB" w:rsidRDefault="0060118A" w:rsidP="0060118A">
            <w:pPr>
              <w:rPr>
                <w:rFonts w:ascii="Arial" w:hAnsi="Arial" w:cs="Arial"/>
                <w:sz w:val="16"/>
                <w:szCs w:val="16"/>
              </w:rPr>
            </w:pPr>
            <w:r w:rsidRPr="00113AFB">
              <w:rPr>
                <w:rFonts w:ascii="Arial" w:hAnsi="Arial" w:cs="Arial"/>
                <w:sz w:val="16"/>
                <w:szCs w:val="16"/>
              </w:rPr>
              <w:t>Baseline: No</w:t>
            </w:r>
          </w:p>
          <w:p w14:paraId="34057DAF" w14:textId="2A7A4E43" w:rsidR="0060118A" w:rsidRPr="00113AFB" w:rsidRDefault="0060118A" w:rsidP="0060118A">
            <w:pPr>
              <w:rPr>
                <w:rFonts w:ascii="Arial" w:hAnsi="Arial" w:cs="Arial"/>
                <w:sz w:val="16"/>
                <w:szCs w:val="16"/>
              </w:rPr>
            </w:pPr>
            <w:r w:rsidRPr="00113AFB">
              <w:rPr>
                <w:rFonts w:ascii="Arial" w:hAnsi="Arial" w:cs="Arial"/>
                <w:sz w:val="16"/>
                <w:szCs w:val="16"/>
              </w:rPr>
              <w:t>Target: Yes</w:t>
            </w:r>
          </w:p>
          <w:p w14:paraId="311933D0" w14:textId="2EE57360" w:rsidR="0060118A" w:rsidRPr="00113AFB" w:rsidRDefault="0060118A" w:rsidP="0060118A">
            <w:pPr>
              <w:rPr>
                <w:rFonts w:ascii="Arial" w:hAnsi="Arial" w:cs="Arial"/>
                <w:sz w:val="16"/>
                <w:szCs w:val="16"/>
              </w:rPr>
            </w:pPr>
          </w:p>
          <w:p w14:paraId="04B2AD44" w14:textId="77777777" w:rsidR="0060118A" w:rsidRPr="00113AFB" w:rsidRDefault="0060118A" w:rsidP="0060118A">
            <w:pPr>
              <w:rPr>
                <w:rFonts w:ascii="Arial" w:hAnsi="Arial" w:cs="Arial"/>
                <w:sz w:val="16"/>
                <w:szCs w:val="16"/>
              </w:rPr>
            </w:pPr>
            <w:r w:rsidRPr="00113AFB">
              <w:rPr>
                <w:rFonts w:ascii="Arial" w:hAnsi="Arial" w:cs="Arial"/>
                <w:sz w:val="16"/>
                <w:szCs w:val="16"/>
              </w:rPr>
              <w:t>Number of media representatives with increased knowledge on the role of media as an instrument of peace and conflict prevention and gender-responsive reporting</w:t>
            </w:r>
          </w:p>
          <w:p w14:paraId="55ADCDE3" w14:textId="77777777" w:rsidR="0060118A" w:rsidRPr="00113AFB" w:rsidRDefault="0060118A" w:rsidP="0060118A">
            <w:pPr>
              <w:rPr>
                <w:rFonts w:ascii="Arial" w:hAnsi="Arial" w:cs="Arial"/>
                <w:sz w:val="16"/>
                <w:szCs w:val="16"/>
              </w:rPr>
            </w:pPr>
          </w:p>
          <w:p w14:paraId="07C0628C" w14:textId="77777777" w:rsidR="0060118A" w:rsidRPr="00113AFB" w:rsidRDefault="0060118A" w:rsidP="0060118A">
            <w:pPr>
              <w:rPr>
                <w:rFonts w:ascii="Arial" w:hAnsi="Arial" w:cs="Arial"/>
                <w:sz w:val="16"/>
                <w:szCs w:val="16"/>
              </w:rPr>
            </w:pPr>
            <w:r w:rsidRPr="00113AFB">
              <w:rPr>
                <w:rFonts w:ascii="Arial" w:hAnsi="Arial" w:cs="Arial"/>
                <w:sz w:val="16"/>
                <w:szCs w:val="16"/>
              </w:rPr>
              <w:t>Baseline: 0</w:t>
            </w:r>
          </w:p>
          <w:p w14:paraId="33880849" w14:textId="16F23013" w:rsidR="0060118A" w:rsidRPr="00113AFB" w:rsidRDefault="0060118A" w:rsidP="0060118A">
            <w:pPr>
              <w:rPr>
                <w:rFonts w:ascii="Arial" w:hAnsi="Arial" w:cs="Arial"/>
                <w:sz w:val="16"/>
                <w:szCs w:val="16"/>
              </w:rPr>
            </w:pPr>
            <w:r w:rsidRPr="00113AFB">
              <w:rPr>
                <w:rFonts w:ascii="Arial" w:hAnsi="Arial" w:cs="Arial"/>
                <w:sz w:val="16"/>
                <w:szCs w:val="16"/>
              </w:rPr>
              <w:t>Target: 30</w:t>
            </w:r>
            <w:r w:rsidR="006B20B8" w:rsidRPr="00113AFB">
              <w:rPr>
                <w:rFonts w:ascii="Arial" w:hAnsi="Arial" w:cs="Arial"/>
                <w:sz w:val="16"/>
                <w:szCs w:val="16"/>
              </w:rPr>
              <w:t xml:space="preserve"> media representatives</w:t>
            </w:r>
            <w:r w:rsidR="00113AFB">
              <w:rPr>
                <w:rFonts w:ascii="Arial" w:hAnsi="Arial" w:cs="Arial"/>
                <w:sz w:val="16"/>
                <w:szCs w:val="16"/>
              </w:rPr>
              <w:t xml:space="preserve"> (50% women)</w:t>
            </w:r>
          </w:p>
          <w:p w14:paraId="30CA4F2E" w14:textId="77777777" w:rsidR="0060118A" w:rsidRPr="00113AFB" w:rsidRDefault="0060118A" w:rsidP="0060118A">
            <w:pPr>
              <w:rPr>
                <w:rFonts w:ascii="Arial" w:hAnsi="Arial" w:cs="Arial"/>
                <w:sz w:val="16"/>
                <w:szCs w:val="16"/>
              </w:rPr>
            </w:pPr>
          </w:p>
        </w:tc>
        <w:tc>
          <w:tcPr>
            <w:tcW w:w="1800" w:type="dxa"/>
            <w:shd w:val="clear" w:color="auto" w:fill="CCFFFF"/>
          </w:tcPr>
          <w:p w14:paraId="3C26157C" w14:textId="6129A5BA" w:rsidR="006B20B8" w:rsidRPr="00EF22A1" w:rsidRDefault="006B20B8" w:rsidP="006B20B8">
            <w:pPr>
              <w:rPr>
                <w:rFonts w:ascii="Arial" w:hAnsi="Arial" w:cs="Arial"/>
                <w:sz w:val="16"/>
                <w:szCs w:val="16"/>
              </w:rPr>
            </w:pPr>
            <w:r w:rsidRPr="00EF22A1">
              <w:rPr>
                <w:rFonts w:ascii="Arial" w:hAnsi="Arial" w:cs="Arial"/>
                <w:sz w:val="16"/>
                <w:szCs w:val="16"/>
              </w:rPr>
              <w:t>Project report</w:t>
            </w:r>
            <w:r>
              <w:rPr>
                <w:rFonts w:ascii="Arial" w:hAnsi="Arial" w:cs="Arial"/>
                <w:sz w:val="16"/>
                <w:szCs w:val="16"/>
              </w:rPr>
              <w:t xml:space="preserve">s, </w:t>
            </w:r>
            <w:r w:rsidRPr="00EF22A1">
              <w:rPr>
                <w:rFonts w:ascii="Arial" w:hAnsi="Arial" w:cs="Arial"/>
                <w:sz w:val="16"/>
                <w:szCs w:val="16"/>
              </w:rPr>
              <w:t>Number of published success stories</w:t>
            </w:r>
            <w:r>
              <w:rPr>
                <w:rFonts w:ascii="Arial" w:hAnsi="Arial" w:cs="Arial"/>
                <w:sz w:val="16"/>
                <w:szCs w:val="16"/>
              </w:rPr>
              <w:t>, Participant lists, Surveys following the workshops</w:t>
            </w:r>
          </w:p>
          <w:p w14:paraId="5C4C5C0B" w14:textId="77777777" w:rsidR="0060118A" w:rsidRPr="00EF22A1" w:rsidRDefault="0060118A" w:rsidP="0060118A">
            <w:pPr>
              <w:rPr>
                <w:rFonts w:ascii="Arial" w:hAnsi="Arial" w:cs="Arial"/>
                <w:sz w:val="16"/>
                <w:szCs w:val="16"/>
              </w:rPr>
            </w:pPr>
          </w:p>
        </w:tc>
        <w:tc>
          <w:tcPr>
            <w:tcW w:w="2857" w:type="dxa"/>
            <w:shd w:val="clear" w:color="auto" w:fill="CCFFFF"/>
          </w:tcPr>
          <w:p w14:paraId="56D5B081" w14:textId="5EACD40F" w:rsidR="00113AFB" w:rsidRDefault="006B20B8" w:rsidP="006B20B8">
            <w:pPr>
              <w:rPr>
                <w:rFonts w:ascii="Arial" w:hAnsi="Arial" w:cs="Arial"/>
                <w:sz w:val="16"/>
                <w:szCs w:val="16"/>
              </w:rPr>
            </w:pPr>
            <w:r w:rsidRPr="000D4EA4">
              <w:rPr>
                <w:rFonts w:ascii="Arial" w:hAnsi="Arial" w:cs="Arial"/>
                <w:sz w:val="16"/>
                <w:szCs w:val="16"/>
              </w:rPr>
              <w:t xml:space="preserve">After 12 months: </w:t>
            </w:r>
            <w:r w:rsidR="00113AFB">
              <w:rPr>
                <w:rFonts w:ascii="Arial" w:hAnsi="Arial" w:cs="Arial"/>
                <w:sz w:val="16"/>
                <w:szCs w:val="16"/>
              </w:rPr>
              <w:t>No / 20</w:t>
            </w:r>
          </w:p>
          <w:p w14:paraId="78740502" w14:textId="31809316" w:rsidR="0060118A" w:rsidRPr="000D4EA4" w:rsidRDefault="006B20B8" w:rsidP="006B20B8">
            <w:pPr>
              <w:rPr>
                <w:rFonts w:ascii="Arial" w:hAnsi="Arial" w:cs="Arial"/>
                <w:sz w:val="16"/>
                <w:szCs w:val="16"/>
              </w:rPr>
            </w:pPr>
            <w:r w:rsidRPr="000D4EA4">
              <w:rPr>
                <w:rFonts w:ascii="Arial" w:hAnsi="Arial" w:cs="Arial"/>
                <w:sz w:val="16"/>
                <w:szCs w:val="16"/>
              </w:rPr>
              <w:t>By the end of the project:</w:t>
            </w:r>
            <w:r w:rsidR="00113AFB">
              <w:rPr>
                <w:rFonts w:ascii="Arial" w:hAnsi="Arial" w:cs="Arial"/>
                <w:sz w:val="16"/>
                <w:szCs w:val="16"/>
              </w:rPr>
              <w:t xml:space="preserve"> Yes / 30</w:t>
            </w:r>
          </w:p>
        </w:tc>
      </w:tr>
      <w:tr w:rsidR="0060118A" w:rsidRPr="00F71698" w14:paraId="144EF9BD" w14:textId="77777777" w:rsidTr="0060118A">
        <w:trPr>
          <w:trHeight w:val="1133"/>
        </w:trPr>
        <w:tc>
          <w:tcPr>
            <w:tcW w:w="2425" w:type="dxa"/>
            <w:vMerge/>
            <w:shd w:val="clear" w:color="auto" w:fill="FFFF99"/>
          </w:tcPr>
          <w:p w14:paraId="140E8D44" w14:textId="77777777" w:rsidR="0060118A" w:rsidRPr="00F71698" w:rsidRDefault="0060118A" w:rsidP="0060118A">
            <w:pPr>
              <w:rPr>
                <w:rFonts w:ascii="Arial" w:hAnsi="Arial" w:cs="Arial"/>
                <w:sz w:val="16"/>
                <w:szCs w:val="16"/>
              </w:rPr>
            </w:pPr>
          </w:p>
        </w:tc>
        <w:tc>
          <w:tcPr>
            <w:tcW w:w="3263" w:type="dxa"/>
            <w:vMerge/>
            <w:shd w:val="clear" w:color="auto" w:fill="CCFFFF"/>
          </w:tcPr>
          <w:p w14:paraId="0D4E3336" w14:textId="77777777" w:rsidR="0060118A" w:rsidRPr="00F71698" w:rsidRDefault="0060118A" w:rsidP="0060118A">
            <w:pPr>
              <w:rPr>
                <w:rFonts w:ascii="Arial" w:hAnsi="Arial" w:cs="Arial"/>
                <w:sz w:val="16"/>
                <w:szCs w:val="16"/>
              </w:rPr>
            </w:pPr>
          </w:p>
        </w:tc>
        <w:tc>
          <w:tcPr>
            <w:tcW w:w="3780" w:type="dxa"/>
            <w:shd w:val="clear" w:color="auto" w:fill="CCFFFF"/>
          </w:tcPr>
          <w:p w14:paraId="4197D561" w14:textId="59393C99" w:rsidR="0060118A" w:rsidRPr="00EF22A1" w:rsidRDefault="006B20B8" w:rsidP="0060118A">
            <w:pPr>
              <w:rPr>
                <w:rFonts w:ascii="Arial" w:hAnsi="Arial" w:cs="Arial"/>
                <w:sz w:val="16"/>
                <w:szCs w:val="16"/>
              </w:rPr>
            </w:pPr>
            <w:r>
              <w:rPr>
                <w:rFonts w:ascii="Arial" w:hAnsi="Arial" w:cs="Arial"/>
                <w:sz w:val="16"/>
                <w:szCs w:val="16"/>
              </w:rPr>
              <w:t>Output Indicator 1.3.6</w:t>
            </w:r>
          </w:p>
          <w:p w14:paraId="78E1B77C" w14:textId="77777777" w:rsidR="0060118A" w:rsidRPr="00EF22A1" w:rsidRDefault="0060118A" w:rsidP="0060118A">
            <w:pPr>
              <w:rPr>
                <w:rFonts w:ascii="Arial" w:hAnsi="Arial" w:cs="Arial"/>
                <w:sz w:val="16"/>
                <w:szCs w:val="16"/>
              </w:rPr>
            </w:pPr>
            <w:r w:rsidRPr="00EF22A1">
              <w:rPr>
                <w:rFonts w:ascii="Arial" w:hAnsi="Arial" w:cs="Arial"/>
                <w:sz w:val="16"/>
                <w:szCs w:val="16"/>
              </w:rPr>
              <w:t xml:space="preserve">Number of students with enhanced knowledge on the role of women in peacebuilding </w:t>
            </w:r>
          </w:p>
          <w:p w14:paraId="06491AAB" w14:textId="77777777" w:rsidR="0060118A" w:rsidRPr="00EF22A1" w:rsidRDefault="0060118A" w:rsidP="0060118A">
            <w:pPr>
              <w:rPr>
                <w:rFonts w:ascii="Arial" w:hAnsi="Arial" w:cs="Arial"/>
                <w:sz w:val="16"/>
                <w:szCs w:val="16"/>
              </w:rPr>
            </w:pPr>
          </w:p>
          <w:p w14:paraId="3D90C719" w14:textId="77777777" w:rsidR="0060118A" w:rsidRPr="00EF22A1" w:rsidRDefault="0060118A" w:rsidP="0060118A">
            <w:pPr>
              <w:rPr>
                <w:rFonts w:ascii="Arial" w:hAnsi="Arial" w:cs="Arial"/>
                <w:sz w:val="16"/>
                <w:szCs w:val="16"/>
              </w:rPr>
            </w:pPr>
            <w:r w:rsidRPr="00EF22A1">
              <w:rPr>
                <w:rFonts w:ascii="Arial" w:hAnsi="Arial" w:cs="Arial"/>
                <w:sz w:val="16"/>
                <w:szCs w:val="16"/>
              </w:rPr>
              <w:t>Baseline: 0</w:t>
            </w:r>
          </w:p>
          <w:p w14:paraId="1608ECD2" w14:textId="055BC93E" w:rsidR="0060118A" w:rsidRPr="00EF22A1" w:rsidRDefault="0060118A" w:rsidP="0060118A">
            <w:pPr>
              <w:rPr>
                <w:rFonts w:ascii="Arial" w:hAnsi="Arial" w:cs="Arial"/>
                <w:sz w:val="16"/>
                <w:szCs w:val="16"/>
              </w:rPr>
            </w:pPr>
            <w:r w:rsidRPr="00EF22A1">
              <w:rPr>
                <w:rFonts w:ascii="Arial" w:hAnsi="Arial" w:cs="Arial"/>
                <w:sz w:val="16"/>
                <w:szCs w:val="16"/>
              </w:rPr>
              <w:t>Target: 600</w:t>
            </w:r>
            <w:r>
              <w:rPr>
                <w:rFonts w:ascii="Arial" w:hAnsi="Arial" w:cs="Arial"/>
                <w:sz w:val="16"/>
                <w:szCs w:val="16"/>
              </w:rPr>
              <w:t xml:space="preserve"> students</w:t>
            </w:r>
            <w:r w:rsidR="00113AFB">
              <w:rPr>
                <w:rFonts w:ascii="Arial" w:hAnsi="Arial" w:cs="Arial"/>
                <w:sz w:val="16"/>
                <w:szCs w:val="16"/>
              </w:rPr>
              <w:t xml:space="preserve"> (50% women)</w:t>
            </w:r>
          </w:p>
          <w:p w14:paraId="0C0F595D" w14:textId="77777777" w:rsidR="0060118A" w:rsidRPr="00F71698" w:rsidRDefault="0060118A" w:rsidP="0060118A">
            <w:pPr>
              <w:rPr>
                <w:rFonts w:ascii="Arial" w:hAnsi="Arial" w:cs="Arial"/>
                <w:sz w:val="16"/>
                <w:szCs w:val="16"/>
              </w:rPr>
            </w:pPr>
          </w:p>
        </w:tc>
        <w:tc>
          <w:tcPr>
            <w:tcW w:w="1800" w:type="dxa"/>
            <w:shd w:val="clear" w:color="auto" w:fill="CCFFFF"/>
          </w:tcPr>
          <w:p w14:paraId="74C6AB71" w14:textId="4AD539B7" w:rsidR="006B20B8" w:rsidRPr="00EF22A1" w:rsidRDefault="006B20B8" w:rsidP="006B20B8">
            <w:pPr>
              <w:rPr>
                <w:rFonts w:ascii="Arial" w:hAnsi="Arial" w:cs="Arial"/>
                <w:sz w:val="16"/>
                <w:szCs w:val="16"/>
              </w:rPr>
            </w:pPr>
            <w:r w:rsidRPr="00EF22A1">
              <w:rPr>
                <w:rFonts w:ascii="Arial" w:hAnsi="Arial" w:cs="Arial"/>
                <w:sz w:val="16"/>
                <w:szCs w:val="16"/>
              </w:rPr>
              <w:t>Number of essays submitted</w:t>
            </w:r>
            <w:r>
              <w:rPr>
                <w:rFonts w:ascii="Arial" w:hAnsi="Arial" w:cs="Arial"/>
                <w:sz w:val="16"/>
                <w:szCs w:val="16"/>
              </w:rPr>
              <w:t xml:space="preserve">, </w:t>
            </w:r>
            <w:r w:rsidRPr="00EF22A1">
              <w:rPr>
                <w:rFonts w:ascii="Arial" w:hAnsi="Arial" w:cs="Arial"/>
                <w:sz w:val="16"/>
                <w:szCs w:val="16"/>
              </w:rPr>
              <w:t>Participants lists</w:t>
            </w:r>
            <w:r>
              <w:rPr>
                <w:rFonts w:ascii="Arial" w:hAnsi="Arial" w:cs="Arial"/>
                <w:sz w:val="16"/>
                <w:szCs w:val="16"/>
              </w:rPr>
              <w:t>,</w:t>
            </w:r>
          </w:p>
          <w:p w14:paraId="43E407D9" w14:textId="00F3169A" w:rsidR="0060118A" w:rsidRPr="00EF22A1" w:rsidRDefault="006B20B8" w:rsidP="006B20B8">
            <w:pPr>
              <w:rPr>
                <w:rFonts w:ascii="Arial" w:hAnsi="Arial" w:cs="Arial"/>
                <w:sz w:val="16"/>
                <w:szCs w:val="16"/>
              </w:rPr>
            </w:pPr>
            <w:r>
              <w:rPr>
                <w:rFonts w:ascii="Arial" w:hAnsi="Arial" w:cs="Arial"/>
                <w:sz w:val="16"/>
                <w:szCs w:val="16"/>
              </w:rPr>
              <w:t>U-</w:t>
            </w:r>
            <w:r w:rsidRPr="00EF22A1">
              <w:rPr>
                <w:rFonts w:ascii="Arial" w:hAnsi="Arial" w:cs="Arial"/>
                <w:sz w:val="16"/>
                <w:szCs w:val="16"/>
              </w:rPr>
              <w:t>Report</w:t>
            </w:r>
          </w:p>
        </w:tc>
        <w:tc>
          <w:tcPr>
            <w:tcW w:w="2857" w:type="dxa"/>
            <w:shd w:val="clear" w:color="auto" w:fill="CCFFFF"/>
          </w:tcPr>
          <w:p w14:paraId="1B52C7B4" w14:textId="73174BF6" w:rsidR="006B20B8" w:rsidRDefault="006B20B8" w:rsidP="006B20B8">
            <w:pPr>
              <w:rPr>
                <w:rFonts w:ascii="Arial" w:hAnsi="Arial" w:cs="Arial"/>
                <w:sz w:val="16"/>
                <w:szCs w:val="16"/>
              </w:rPr>
            </w:pPr>
            <w:r w:rsidRPr="000D4EA4">
              <w:rPr>
                <w:rFonts w:ascii="Arial" w:hAnsi="Arial" w:cs="Arial"/>
                <w:sz w:val="16"/>
                <w:szCs w:val="16"/>
              </w:rPr>
              <w:t xml:space="preserve">After 12 months: </w:t>
            </w:r>
            <w:r w:rsidR="00113AFB">
              <w:rPr>
                <w:rFonts w:ascii="Arial" w:hAnsi="Arial" w:cs="Arial"/>
                <w:sz w:val="16"/>
                <w:szCs w:val="16"/>
              </w:rPr>
              <w:t>400</w:t>
            </w:r>
          </w:p>
          <w:p w14:paraId="1E0DD91D" w14:textId="31749B99" w:rsidR="0060118A" w:rsidRPr="000D4EA4" w:rsidRDefault="006B20B8" w:rsidP="006B20B8">
            <w:pPr>
              <w:rPr>
                <w:rFonts w:ascii="Arial" w:hAnsi="Arial" w:cs="Arial"/>
                <w:sz w:val="16"/>
                <w:szCs w:val="16"/>
              </w:rPr>
            </w:pPr>
            <w:r w:rsidRPr="000D4EA4">
              <w:rPr>
                <w:rFonts w:ascii="Arial" w:hAnsi="Arial" w:cs="Arial"/>
                <w:sz w:val="16"/>
                <w:szCs w:val="16"/>
              </w:rPr>
              <w:t>By the end of the project:</w:t>
            </w:r>
            <w:r w:rsidR="00113AFB">
              <w:rPr>
                <w:rFonts w:ascii="Arial" w:hAnsi="Arial" w:cs="Arial"/>
                <w:sz w:val="16"/>
                <w:szCs w:val="16"/>
              </w:rPr>
              <w:t xml:space="preserve"> 600</w:t>
            </w:r>
          </w:p>
        </w:tc>
      </w:tr>
      <w:tr w:rsidR="0060118A" w:rsidRPr="00F71698" w14:paraId="25315172" w14:textId="77777777" w:rsidTr="0060118A">
        <w:tc>
          <w:tcPr>
            <w:tcW w:w="2425" w:type="dxa"/>
            <w:vMerge/>
            <w:tcBorders>
              <w:bottom w:val="single" w:sz="4" w:space="0" w:color="auto"/>
            </w:tcBorders>
            <w:shd w:val="clear" w:color="auto" w:fill="FFFF99"/>
          </w:tcPr>
          <w:p w14:paraId="4D8FDE88" w14:textId="77777777" w:rsidR="0060118A" w:rsidRPr="00F71698" w:rsidRDefault="0060118A" w:rsidP="0060118A">
            <w:pPr>
              <w:rPr>
                <w:rFonts w:ascii="Arial" w:hAnsi="Arial" w:cs="Arial"/>
                <w:sz w:val="16"/>
                <w:szCs w:val="16"/>
              </w:rPr>
            </w:pPr>
          </w:p>
        </w:tc>
        <w:tc>
          <w:tcPr>
            <w:tcW w:w="3263" w:type="dxa"/>
            <w:vMerge/>
            <w:tcBorders>
              <w:bottom w:val="single" w:sz="4" w:space="0" w:color="auto"/>
            </w:tcBorders>
            <w:shd w:val="clear" w:color="auto" w:fill="CCFFFF"/>
          </w:tcPr>
          <w:p w14:paraId="2358DA94" w14:textId="77777777" w:rsidR="0060118A" w:rsidRPr="00F71698" w:rsidRDefault="0060118A" w:rsidP="0060118A">
            <w:pPr>
              <w:rPr>
                <w:rFonts w:ascii="Arial" w:hAnsi="Arial" w:cs="Arial"/>
                <w:sz w:val="16"/>
                <w:szCs w:val="16"/>
              </w:rPr>
            </w:pPr>
          </w:p>
        </w:tc>
        <w:tc>
          <w:tcPr>
            <w:tcW w:w="3780" w:type="dxa"/>
            <w:tcBorders>
              <w:bottom w:val="single" w:sz="4" w:space="0" w:color="auto"/>
            </w:tcBorders>
            <w:shd w:val="clear" w:color="auto" w:fill="CCFFFF"/>
          </w:tcPr>
          <w:p w14:paraId="22C62B12" w14:textId="656D2534" w:rsidR="0060118A" w:rsidRPr="00F71698" w:rsidRDefault="006B20B8" w:rsidP="0060118A">
            <w:pPr>
              <w:rPr>
                <w:rFonts w:ascii="Arial" w:hAnsi="Arial" w:cs="Arial"/>
                <w:sz w:val="16"/>
                <w:szCs w:val="16"/>
              </w:rPr>
            </w:pPr>
            <w:r>
              <w:rPr>
                <w:rFonts w:ascii="Arial" w:hAnsi="Arial" w:cs="Arial"/>
                <w:sz w:val="16"/>
                <w:szCs w:val="16"/>
              </w:rPr>
              <w:t>Output Indicator 1.3.7</w:t>
            </w:r>
          </w:p>
          <w:p w14:paraId="276F1A12" w14:textId="7025D893" w:rsidR="0060118A" w:rsidRDefault="0060118A" w:rsidP="0060118A">
            <w:pPr>
              <w:rPr>
                <w:rFonts w:ascii="Arial" w:hAnsi="Arial" w:cs="Arial"/>
                <w:sz w:val="16"/>
                <w:szCs w:val="16"/>
              </w:rPr>
            </w:pPr>
            <w:r w:rsidRPr="000D4EA4">
              <w:rPr>
                <w:rFonts w:ascii="Arial" w:hAnsi="Arial" w:cs="Arial"/>
                <w:sz w:val="16"/>
                <w:szCs w:val="16"/>
              </w:rPr>
              <w:t xml:space="preserve">Number of young women having developed leadership skills through the mentoring </w:t>
            </w:r>
            <w:proofErr w:type="spellStart"/>
            <w:r w:rsidRPr="000D4EA4">
              <w:rPr>
                <w:rFonts w:ascii="Arial" w:hAnsi="Arial" w:cs="Arial"/>
                <w:sz w:val="16"/>
                <w:szCs w:val="16"/>
              </w:rPr>
              <w:t>programme</w:t>
            </w:r>
            <w:proofErr w:type="spellEnd"/>
          </w:p>
          <w:p w14:paraId="7259478F" w14:textId="77777777" w:rsidR="0060118A" w:rsidRPr="00F71698" w:rsidRDefault="0060118A" w:rsidP="0060118A">
            <w:pPr>
              <w:rPr>
                <w:rFonts w:ascii="Arial" w:hAnsi="Arial" w:cs="Arial"/>
                <w:sz w:val="16"/>
                <w:szCs w:val="16"/>
              </w:rPr>
            </w:pPr>
          </w:p>
          <w:p w14:paraId="6C47F7C8" w14:textId="76F273EA" w:rsidR="0060118A" w:rsidRPr="00F71698" w:rsidRDefault="0060118A" w:rsidP="0060118A">
            <w:pPr>
              <w:rPr>
                <w:rFonts w:ascii="Arial" w:hAnsi="Arial" w:cs="Arial"/>
                <w:sz w:val="16"/>
                <w:szCs w:val="16"/>
              </w:rPr>
            </w:pPr>
            <w:r w:rsidRPr="00F71698">
              <w:rPr>
                <w:rFonts w:ascii="Arial" w:hAnsi="Arial" w:cs="Arial"/>
                <w:sz w:val="16"/>
                <w:szCs w:val="16"/>
              </w:rPr>
              <w:t>Baseline:</w:t>
            </w:r>
            <w:r>
              <w:rPr>
                <w:rFonts w:ascii="Arial" w:hAnsi="Arial" w:cs="Arial"/>
                <w:sz w:val="16"/>
                <w:szCs w:val="16"/>
              </w:rPr>
              <w:t xml:space="preserve"> 0</w:t>
            </w:r>
          </w:p>
          <w:p w14:paraId="1FF9AC4B" w14:textId="7E1555C4" w:rsidR="0060118A" w:rsidRPr="00F71698" w:rsidRDefault="0060118A" w:rsidP="0060118A">
            <w:pPr>
              <w:rPr>
                <w:rFonts w:ascii="Arial" w:hAnsi="Arial" w:cs="Arial"/>
                <w:sz w:val="16"/>
                <w:szCs w:val="16"/>
              </w:rPr>
            </w:pPr>
            <w:r w:rsidRPr="00F71698">
              <w:rPr>
                <w:rFonts w:ascii="Arial" w:hAnsi="Arial" w:cs="Arial"/>
                <w:sz w:val="16"/>
                <w:szCs w:val="16"/>
              </w:rPr>
              <w:t>Target:</w:t>
            </w:r>
            <w:r w:rsidRPr="000D4EA4">
              <w:rPr>
                <w:rFonts w:ascii="Arial" w:hAnsi="Arial" w:cs="Arial"/>
                <w:sz w:val="16"/>
                <w:szCs w:val="16"/>
              </w:rPr>
              <w:t xml:space="preserve"> Minimum 6 young women</w:t>
            </w:r>
          </w:p>
          <w:p w14:paraId="48537DCE" w14:textId="4DB1CF27" w:rsidR="0060118A" w:rsidRPr="00F71698" w:rsidRDefault="0060118A" w:rsidP="0060118A">
            <w:pPr>
              <w:rPr>
                <w:rFonts w:ascii="Arial" w:hAnsi="Arial" w:cs="Arial"/>
                <w:sz w:val="16"/>
                <w:szCs w:val="16"/>
              </w:rPr>
            </w:pPr>
          </w:p>
        </w:tc>
        <w:tc>
          <w:tcPr>
            <w:tcW w:w="1800" w:type="dxa"/>
            <w:tcBorders>
              <w:bottom w:val="single" w:sz="4" w:space="0" w:color="auto"/>
            </w:tcBorders>
            <w:shd w:val="clear" w:color="auto" w:fill="CCFFFF"/>
          </w:tcPr>
          <w:p w14:paraId="460E2964" w14:textId="05EC66F1" w:rsidR="0060118A" w:rsidRPr="00F71698" w:rsidRDefault="0060118A" w:rsidP="0060118A">
            <w:pPr>
              <w:rPr>
                <w:rFonts w:ascii="Arial" w:hAnsi="Arial" w:cs="Arial"/>
                <w:sz w:val="16"/>
                <w:szCs w:val="16"/>
              </w:rPr>
            </w:pPr>
            <w:r w:rsidRPr="000D4EA4">
              <w:rPr>
                <w:rFonts w:ascii="Arial" w:hAnsi="Arial" w:cs="Arial"/>
                <w:sz w:val="16"/>
                <w:szCs w:val="16"/>
              </w:rPr>
              <w:t>Project records</w:t>
            </w:r>
          </w:p>
        </w:tc>
        <w:tc>
          <w:tcPr>
            <w:tcW w:w="2857" w:type="dxa"/>
            <w:tcBorders>
              <w:bottom w:val="single" w:sz="4" w:space="0" w:color="auto"/>
            </w:tcBorders>
            <w:shd w:val="clear" w:color="auto" w:fill="CCFFFF"/>
          </w:tcPr>
          <w:p w14:paraId="1E3E86F4" w14:textId="77777777" w:rsidR="0060118A" w:rsidRDefault="0060118A" w:rsidP="0060118A">
            <w:pPr>
              <w:rPr>
                <w:rFonts w:ascii="Arial" w:hAnsi="Arial" w:cs="Arial"/>
                <w:sz w:val="16"/>
                <w:szCs w:val="16"/>
              </w:rPr>
            </w:pPr>
            <w:r w:rsidRPr="000D4EA4">
              <w:rPr>
                <w:rFonts w:ascii="Arial" w:hAnsi="Arial" w:cs="Arial"/>
                <w:sz w:val="16"/>
                <w:szCs w:val="16"/>
              </w:rPr>
              <w:t>After 12</w:t>
            </w:r>
            <w:r>
              <w:rPr>
                <w:rFonts w:ascii="Arial" w:hAnsi="Arial" w:cs="Arial"/>
                <w:sz w:val="16"/>
                <w:szCs w:val="16"/>
              </w:rPr>
              <w:t xml:space="preserve"> months: Minimum 6 young women</w:t>
            </w:r>
          </w:p>
          <w:p w14:paraId="2856CE33" w14:textId="5F8F79BF" w:rsidR="0060118A" w:rsidRPr="00F71698" w:rsidRDefault="0060118A" w:rsidP="0060118A">
            <w:pPr>
              <w:rPr>
                <w:rFonts w:ascii="Arial" w:hAnsi="Arial" w:cs="Arial"/>
                <w:sz w:val="16"/>
                <w:szCs w:val="16"/>
              </w:rPr>
            </w:pPr>
            <w:r w:rsidRPr="000D4EA4">
              <w:rPr>
                <w:rFonts w:ascii="Arial" w:hAnsi="Arial" w:cs="Arial"/>
                <w:sz w:val="16"/>
                <w:szCs w:val="16"/>
              </w:rPr>
              <w:t>By the end of the project: Minimum 6 young women</w:t>
            </w:r>
          </w:p>
        </w:tc>
      </w:tr>
    </w:tbl>
    <w:p w14:paraId="568C09D8" w14:textId="77777777" w:rsidR="00752F64" w:rsidRDefault="00752F64" w:rsidP="00D570C5"/>
    <w:p w14:paraId="55627D3B" w14:textId="77777777" w:rsidR="00AF493D" w:rsidRDefault="00AF493D" w:rsidP="00D570C5"/>
    <w:p w14:paraId="3E6B3180" w14:textId="601821F3" w:rsidR="00416E90" w:rsidRDefault="00416E90" w:rsidP="00D570C5"/>
    <w:p w14:paraId="498A45B8" w14:textId="77777777" w:rsidR="00416E90" w:rsidRDefault="00416E90" w:rsidP="00D570C5">
      <w:pPr>
        <w:rPr>
          <w:b/>
          <w:bCs/>
        </w:rPr>
      </w:pPr>
      <w:r>
        <w:rPr>
          <w:b/>
          <w:bCs/>
        </w:rPr>
        <w:br w:type="page"/>
      </w:r>
    </w:p>
    <w:bookmarkEnd w:id="7"/>
    <w:p w14:paraId="795DC3AA" w14:textId="188BE2D8" w:rsidR="00AF493D" w:rsidRPr="00B2451B" w:rsidRDefault="00B2451B" w:rsidP="00D570C5">
      <w:pPr>
        <w:rPr>
          <w:b/>
          <w:bCs/>
        </w:rPr>
      </w:pPr>
      <w:r w:rsidRPr="00B2451B">
        <w:rPr>
          <w:b/>
          <w:bCs/>
        </w:rPr>
        <w:lastRenderedPageBreak/>
        <w:t xml:space="preserve">Annex C: </w:t>
      </w:r>
      <w:r w:rsidR="00A02C7A">
        <w:rPr>
          <w:b/>
          <w:bCs/>
        </w:rPr>
        <w:t>Checklist of project implementation readiness</w:t>
      </w:r>
    </w:p>
    <w:p w14:paraId="1D284A12" w14:textId="77777777" w:rsidR="00B2451B" w:rsidRDefault="00B2451B" w:rsidP="00D570C5"/>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gridCol w:w="720"/>
        <w:gridCol w:w="630"/>
        <w:gridCol w:w="3533"/>
      </w:tblGrid>
      <w:tr w:rsidR="00B2451B" w:rsidRPr="006171FB" w14:paraId="76385CB8" w14:textId="77777777" w:rsidTr="00480024">
        <w:tc>
          <w:tcPr>
            <w:tcW w:w="10417" w:type="dxa"/>
            <w:shd w:val="clear" w:color="auto" w:fill="404040"/>
          </w:tcPr>
          <w:p w14:paraId="2DAE4B03" w14:textId="77777777" w:rsidR="00B2451B" w:rsidRPr="006171FB" w:rsidRDefault="00B2451B" w:rsidP="00D570C5">
            <w:pPr>
              <w:ind w:right="-334"/>
              <w:rPr>
                <w:rFonts w:ascii="Arial" w:hAnsi="Arial" w:cs="Arial"/>
                <w:b/>
                <w:color w:val="FFFFFF"/>
              </w:rPr>
            </w:pPr>
            <w:r w:rsidRPr="006171FB">
              <w:rPr>
                <w:rFonts w:ascii="Arial" w:hAnsi="Arial" w:cs="Arial"/>
                <w:b/>
                <w:color w:val="FFFFFF"/>
              </w:rPr>
              <w:t>Question</w:t>
            </w:r>
          </w:p>
        </w:tc>
        <w:tc>
          <w:tcPr>
            <w:tcW w:w="720" w:type="dxa"/>
            <w:shd w:val="clear" w:color="auto" w:fill="404040"/>
          </w:tcPr>
          <w:p w14:paraId="12808DF4" w14:textId="77777777" w:rsidR="00B2451B" w:rsidRPr="006171FB" w:rsidRDefault="00B2451B" w:rsidP="00D570C5">
            <w:pPr>
              <w:ind w:left="-1034" w:right="-1008"/>
              <w:jc w:val="center"/>
              <w:rPr>
                <w:rFonts w:ascii="Arial" w:hAnsi="Arial" w:cs="Arial"/>
                <w:b/>
                <w:color w:val="FFFFFF"/>
              </w:rPr>
            </w:pPr>
            <w:r w:rsidRPr="006171FB">
              <w:rPr>
                <w:rFonts w:ascii="Arial" w:hAnsi="Arial" w:cs="Arial"/>
                <w:b/>
                <w:color w:val="FFFFFF"/>
              </w:rPr>
              <w:t>Yes</w:t>
            </w:r>
          </w:p>
        </w:tc>
        <w:tc>
          <w:tcPr>
            <w:tcW w:w="630" w:type="dxa"/>
            <w:shd w:val="clear" w:color="auto" w:fill="404040"/>
          </w:tcPr>
          <w:p w14:paraId="68D297A4" w14:textId="77777777" w:rsidR="00B2451B" w:rsidRPr="006171FB" w:rsidRDefault="00B2451B" w:rsidP="00D570C5">
            <w:pPr>
              <w:ind w:left="-494" w:right="-334"/>
              <w:jc w:val="center"/>
              <w:rPr>
                <w:rFonts w:ascii="Arial" w:hAnsi="Arial" w:cs="Arial"/>
                <w:b/>
                <w:color w:val="FFFFFF"/>
              </w:rPr>
            </w:pPr>
            <w:r w:rsidRPr="006171FB">
              <w:rPr>
                <w:rFonts w:ascii="Arial" w:hAnsi="Arial" w:cs="Arial"/>
                <w:b/>
                <w:color w:val="FFFFFF"/>
              </w:rPr>
              <w:t>No</w:t>
            </w:r>
          </w:p>
        </w:tc>
        <w:tc>
          <w:tcPr>
            <w:tcW w:w="3533" w:type="dxa"/>
            <w:shd w:val="clear" w:color="auto" w:fill="404040"/>
          </w:tcPr>
          <w:p w14:paraId="72104BC9" w14:textId="77777777" w:rsidR="00EF6DDA" w:rsidRPr="006171FB" w:rsidRDefault="00A02C7A" w:rsidP="00D570C5">
            <w:pPr>
              <w:ind w:left="-494" w:right="-334"/>
              <w:jc w:val="center"/>
              <w:rPr>
                <w:rFonts w:ascii="Arial" w:hAnsi="Arial" w:cs="Arial"/>
                <w:b/>
                <w:color w:val="FFFFFF"/>
              </w:rPr>
            </w:pPr>
            <w:r>
              <w:rPr>
                <w:rFonts w:ascii="Arial" w:hAnsi="Arial" w:cs="Arial"/>
                <w:b/>
                <w:color w:val="FFFFFF"/>
              </w:rPr>
              <w:t>Comment</w:t>
            </w:r>
          </w:p>
        </w:tc>
      </w:tr>
      <w:tr w:rsidR="00B2451B" w:rsidRPr="006171FB" w14:paraId="08B1631D" w14:textId="77777777" w:rsidTr="00480024">
        <w:tc>
          <w:tcPr>
            <w:tcW w:w="10417" w:type="dxa"/>
            <w:shd w:val="clear" w:color="auto" w:fill="auto"/>
          </w:tcPr>
          <w:p w14:paraId="6B4A050A" w14:textId="77777777" w:rsidR="00B2451B" w:rsidRPr="006171FB" w:rsidRDefault="00480024" w:rsidP="00EF1B08">
            <w:pPr>
              <w:numPr>
                <w:ilvl w:val="0"/>
                <w:numId w:val="7"/>
              </w:numPr>
              <w:ind w:left="432" w:right="-334"/>
              <w:rPr>
                <w:rFonts w:ascii="Arial" w:hAnsi="Arial" w:cs="Arial"/>
              </w:rPr>
            </w:pPr>
            <w:r>
              <w:rPr>
                <w:rFonts w:ascii="Arial" w:hAnsi="Arial" w:cs="Arial"/>
              </w:rPr>
              <w:t>Have all implementing partners been identified?</w:t>
            </w:r>
          </w:p>
        </w:tc>
        <w:tc>
          <w:tcPr>
            <w:tcW w:w="720" w:type="dxa"/>
            <w:shd w:val="clear" w:color="auto" w:fill="auto"/>
          </w:tcPr>
          <w:p w14:paraId="11B036C3" w14:textId="23F5EA9F" w:rsidR="00B2451B" w:rsidRPr="006171FB" w:rsidRDefault="001046CF" w:rsidP="001046CF">
            <w:pPr>
              <w:ind w:right="-334"/>
              <w:jc w:val="center"/>
              <w:rPr>
                <w:rFonts w:ascii="Arial" w:hAnsi="Arial" w:cs="Arial"/>
              </w:rPr>
            </w:pPr>
            <w:r>
              <w:rPr>
                <w:rFonts w:ascii="Arial" w:hAnsi="Arial" w:cs="Arial"/>
              </w:rPr>
              <w:t>X</w:t>
            </w:r>
          </w:p>
        </w:tc>
        <w:tc>
          <w:tcPr>
            <w:tcW w:w="630" w:type="dxa"/>
            <w:shd w:val="clear" w:color="auto" w:fill="auto"/>
          </w:tcPr>
          <w:p w14:paraId="3031A07F" w14:textId="77777777" w:rsidR="00B2451B" w:rsidRPr="006171FB" w:rsidRDefault="00B2451B" w:rsidP="001046CF">
            <w:pPr>
              <w:ind w:right="-334"/>
              <w:jc w:val="center"/>
              <w:rPr>
                <w:rFonts w:ascii="Arial" w:hAnsi="Arial" w:cs="Arial"/>
              </w:rPr>
            </w:pPr>
          </w:p>
        </w:tc>
        <w:tc>
          <w:tcPr>
            <w:tcW w:w="3533" w:type="dxa"/>
            <w:shd w:val="clear" w:color="auto" w:fill="auto"/>
          </w:tcPr>
          <w:p w14:paraId="7AE6F0D0" w14:textId="77777777" w:rsidR="00B2451B" w:rsidRPr="006171FB" w:rsidRDefault="00B2451B" w:rsidP="00D570C5">
            <w:pPr>
              <w:ind w:right="-334"/>
              <w:jc w:val="center"/>
              <w:rPr>
                <w:rFonts w:ascii="Arial" w:hAnsi="Arial" w:cs="Arial"/>
              </w:rPr>
            </w:pPr>
          </w:p>
        </w:tc>
      </w:tr>
      <w:tr w:rsidR="00B2451B" w:rsidRPr="006171FB" w14:paraId="09F04DA9" w14:textId="77777777" w:rsidTr="00480024">
        <w:tc>
          <w:tcPr>
            <w:tcW w:w="10417" w:type="dxa"/>
            <w:shd w:val="clear" w:color="auto" w:fill="auto"/>
          </w:tcPr>
          <w:p w14:paraId="1833F347" w14:textId="77777777" w:rsidR="00B2451B" w:rsidRPr="006171FB" w:rsidRDefault="00480024" w:rsidP="00EF1B08">
            <w:pPr>
              <w:numPr>
                <w:ilvl w:val="0"/>
                <w:numId w:val="7"/>
              </w:numPr>
              <w:ind w:left="432" w:right="-334"/>
              <w:rPr>
                <w:rFonts w:ascii="Arial" w:hAnsi="Arial" w:cs="Arial"/>
              </w:rPr>
            </w:pPr>
            <w:r>
              <w:rPr>
                <w:rFonts w:ascii="Arial" w:hAnsi="Arial" w:cs="Arial"/>
              </w:rPr>
              <w:t>Have TORs for key project staff been finalized and ready to advertise?</w:t>
            </w:r>
          </w:p>
        </w:tc>
        <w:tc>
          <w:tcPr>
            <w:tcW w:w="720" w:type="dxa"/>
            <w:shd w:val="clear" w:color="auto" w:fill="auto"/>
          </w:tcPr>
          <w:p w14:paraId="1C08B6EC" w14:textId="14300A7A" w:rsidR="00B2451B" w:rsidRPr="006171FB" w:rsidRDefault="00B2451B" w:rsidP="001046CF">
            <w:pPr>
              <w:ind w:right="-334"/>
              <w:jc w:val="center"/>
              <w:rPr>
                <w:rFonts w:ascii="Arial" w:hAnsi="Arial" w:cs="Arial"/>
              </w:rPr>
            </w:pPr>
          </w:p>
        </w:tc>
        <w:tc>
          <w:tcPr>
            <w:tcW w:w="630" w:type="dxa"/>
            <w:shd w:val="clear" w:color="auto" w:fill="auto"/>
          </w:tcPr>
          <w:p w14:paraId="155E4431" w14:textId="2FB37333" w:rsidR="00B2451B" w:rsidRPr="006171FB" w:rsidRDefault="00B2451B" w:rsidP="001046CF">
            <w:pPr>
              <w:ind w:right="-334"/>
              <w:jc w:val="center"/>
              <w:rPr>
                <w:rFonts w:ascii="Arial" w:hAnsi="Arial" w:cs="Arial"/>
              </w:rPr>
            </w:pPr>
          </w:p>
        </w:tc>
        <w:tc>
          <w:tcPr>
            <w:tcW w:w="3533" w:type="dxa"/>
            <w:shd w:val="clear" w:color="auto" w:fill="auto"/>
          </w:tcPr>
          <w:p w14:paraId="5C6AD814" w14:textId="7F89A060" w:rsidR="00B2451B" w:rsidRPr="006171FB" w:rsidRDefault="000B60C2" w:rsidP="000B60C2">
            <w:pPr>
              <w:ind w:right="-334"/>
              <w:rPr>
                <w:rFonts w:ascii="Arial" w:hAnsi="Arial" w:cs="Arial"/>
              </w:rPr>
            </w:pPr>
            <w:r w:rsidRPr="000B60C2">
              <w:rPr>
                <w:rFonts w:ascii="Arial" w:hAnsi="Arial" w:cs="Arial"/>
                <w:sz w:val="16"/>
              </w:rPr>
              <w:t>The Terms of Reference for these posts will be developed jointly by the implementing Agencies. They will also be shared with the PBSO and UNMIK to ensure coordination and complementarity within the UN expertise</w:t>
            </w:r>
            <w:r w:rsidR="00A96BD8">
              <w:rPr>
                <w:rFonts w:ascii="Arial" w:hAnsi="Arial" w:cs="Arial"/>
                <w:sz w:val="16"/>
              </w:rPr>
              <w:t>.</w:t>
            </w:r>
          </w:p>
        </w:tc>
      </w:tr>
      <w:tr w:rsidR="00B2451B" w:rsidRPr="006171FB" w14:paraId="0560D94F" w14:textId="77777777" w:rsidTr="00480024">
        <w:tc>
          <w:tcPr>
            <w:tcW w:w="10417" w:type="dxa"/>
            <w:shd w:val="clear" w:color="auto" w:fill="auto"/>
          </w:tcPr>
          <w:p w14:paraId="62E0106D" w14:textId="77777777" w:rsidR="00B2451B" w:rsidRPr="006171FB" w:rsidRDefault="00480024" w:rsidP="00EF1B08">
            <w:pPr>
              <w:numPr>
                <w:ilvl w:val="0"/>
                <w:numId w:val="7"/>
              </w:numPr>
              <w:ind w:left="432" w:right="-334"/>
              <w:rPr>
                <w:rFonts w:ascii="Arial" w:hAnsi="Arial" w:cs="Arial"/>
              </w:rPr>
            </w:pPr>
            <w:r>
              <w:rPr>
                <w:rFonts w:ascii="Arial" w:hAnsi="Arial" w:cs="Arial"/>
              </w:rPr>
              <w:t>Have project sites been identified?</w:t>
            </w:r>
          </w:p>
        </w:tc>
        <w:tc>
          <w:tcPr>
            <w:tcW w:w="720" w:type="dxa"/>
            <w:shd w:val="clear" w:color="auto" w:fill="auto"/>
          </w:tcPr>
          <w:p w14:paraId="48E3231A" w14:textId="2C36A27D" w:rsidR="00B2451B" w:rsidRPr="006171FB" w:rsidRDefault="001046CF" w:rsidP="001046CF">
            <w:pPr>
              <w:ind w:right="-334"/>
              <w:jc w:val="center"/>
              <w:rPr>
                <w:rFonts w:ascii="Arial" w:hAnsi="Arial" w:cs="Arial"/>
              </w:rPr>
            </w:pPr>
            <w:r>
              <w:rPr>
                <w:rFonts w:ascii="Arial" w:hAnsi="Arial" w:cs="Arial"/>
              </w:rPr>
              <w:t>X</w:t>
            </w:r>
          </w:p>
        </w:tc>
        <w:tc>
          <w:tcPr>
            <w:tcW w:w="630" w:type="dxa"/>
            <w:shd w:val="clear" w:color="auto" w:fill="auto"/>
          </w:tcPr>
          <w:p w14:paraId="4CC67FCD" w14:textId="77777777" w:rsidR="00B2451B" w:rsidRPr="006171FB" w:rsidRDefault="00B2451B" w:rsidP="001046CF">
            <w:pPr>
              <w:ind w:right="-334"/>
              <w:jc w:val="center"/>
              <w:rPr>
                <w:rFonts w:ascii="Arial" w:hAnsi="Arial" w:cs="Arial"/>
              </w:rPr>
            </w:pPr>
          </w:p>
        </w:tc>
        <w:tc>
          <w:tcPr>
            <w:tcW w:w="3533" w:type="dxa"/>
            <w:shd w:val="clear" w:color="auto" w:fill="auto"/>
          </w:tcPr>
          <w:p w14:paraId="7621AFC4" w14:textId="77777777" w:rsidR="00B2451B" w:rsidRPr="006171FB" w:rsidRDefault="00B2451B" w:rsidP="00D570C5">
            <w:pPr>
              <w:ind w:right="-334"/>
              <w:jc w:val="center"/>
              <w:rPr>
                <w:rFonts w:ascii="Arial" w:hAnsi="Arial" w:cs="Arial"/>
              </w:rPr>
            </w:pPr>
          </w:p>
        </w:tc>
      </w:tr>
      <w:tr w:rsidR="00480024" w:rsidRPr="006171FB" w14:paraId="538C0569" w14:textId="77777777" w:rsidTr="00480024">
        <w:tc>
          <w:tcPr>
            <w:tcW w:w="10417" w:type="dxa"/>
            <w:shd w:val="clear" w:color="auto" w:fill="auto"/>
          </w:tcPr>
          <w:p w14:paraId="6F7D5CC6" w14:textId="77777777" w:rsidR="00480024" w:rsidRDefault="00480024" w:rsidP="00EF1B08">
            <w:pPr>
              <w:numPr>
                <w:ilvl w:val="0"/>
                <w:numId w:val="7"/>
              </w:numPr>
              <w:ind w:left="432" w:right="-334"/>
              <w:rPr>
                <w:rFonts w:ascii="Arial" w:hAnsi="Arial" w:cs="Arial"/>
              </w:rPr>
            </w:pPr>
            <w:r>
              <w:rPr>
                <w:rFonts w:ascii="Arial" w:hAnsi="Arial" w:cs="Arial"/>
              </w:rPr>
              <w:t>Have local communities and government offices been consulted/ sensitized on the existence of the project?</w:t>
            </w:r>
          </w:p>
        </w:tc>
        <w:tc>
          <w:tcPr>
            <w:tcW w:w="720" w:type="dxa"/>
            <w:shd w:val="clear" w:color="auto" w:fill="auto"/>
          </w:tcPr>
          <w:p w14:paraId="375D1729" w14:textId="47046F40" w:rsidR="00480024" w:rsidRPr="006171FB" w:rsidRDefault="001046CF" w:rsidP="001046CF">
            <w:pPr>
              <w:ind w:right="-334"/>
              <w:jc w:val="center"/>
              <w:rPr>
                <w:rFonts w:ascii="Arial" w:hAnsi="Arial" w:cs="Arial"/>
              </w:rPr>
            </w:pPr>
            <w:r>
              <w:rPr>
                <w:rFonts w:ascii="Arial" w:hAnsi="Arial" w:cs="Arial"/>
              </w:rPr>
              <w:t>X</w:t>
            </w:r>
          </w:p>
        </w:tc>
        <w:tc>
          <w:tcPr>
            <w:tcW w:w="630" w:type="dxa"/>
            <w:shd w:val="clear" w:color="auto" w:fill="auto"/>
          </w:tcPr>
          <w:p w14:paraId="094E43DC" w14:textId="77777777" w:rsidR="00480024" w:rsidRPr="006171FB" w:rsidRDefault="00480024" w:rsidP="001046CF">
            <w:pPr>
              <w:ind w:right="-334"/>
              <w:jc w:val="center"/>
              <w:rPr>
                <w:rFonts w:ascii="Arial" w:hAnsi="Arial" w:cs="Arial"/>
              </w:rPr>
            </w:pPr>
          </w:p>
        </w:tc>
        <w:tc>
          <w:tcPr>
            <w:tcW w:w="3533" w:type="dxa"/>
            <w:shd w:val="clear" w:color="auto" w:fill="auto"/>
          </w:tcPr>
          <w:p w14:paraId="1A8DF8BC" w14:textId="77777777" w:rsidR="00480024" w:rsidRPr="006171FB" w:rsidRDefault="00480024" w:rsidP="00D570C5">
            <w:pPr>
              <w:ind w:right="-334"/>
              <w:jc w:val="center"/>
              <w:rPr>
                <w:rFonts w:ascii="Arial" w:hAnsi="Arial" w:cs="Arial"/>
              </w:rPr>
            </w:pPr>
          </w:p>
        </w:tc>
      </w:tr>
      <w:tr w:rsidR="00B2451B" w:rsidRPr="006171FB" w14:paraId="272D5049" w14:textId="77777777" w:rsidTr="00480024">
        <w:tc>
          <w:tcPr>
            <w:tcW w:w="10417" w:type="dxa"/>
            <w:shd w:val="clear" w:color="auto" w:fill="auto"/>
          </w:tcPr>
          <w:p w14:paraId="3DB86111" w14:textId="77777777" w:rsidR="00B2451B" w:rsidRPr="006171FB" w:rsidRDefault="00480024" w:rsidP="00EF1B08">
            <w:pPr>
              <w:numPr>
                <w:ilvl w:val="0"/>
                <w:numId w:val="7"/>
              </w:numPr>
              <w:ind w:left="432" w:right="-334"/>
              <w:rPr>
                <w:rFonts w:ascii="Arial" w:hAnsi="Arial" w:cs="Arial"/>
              </w:rPr>
            </w:pPr>
            <w:r>
              <w:rPr>
                <w:rFonts w:ascii="Arial" w:hAnsi="Arial" w:cs="Arial"/>
              </w:rPr>
              <w:t>Has any preliminary analysis/ identification of lessons learned/ existing activities been done?</w:t>
            </w:r>
          </w:p>
        </w:tc>
        <w:tc>
          <w:tcPr>
            <w:tcW w:w="720" w:type="dxa"/>
            <w:shd w:val="clear" w:color="auto" w:fill="auto"/>
          </w:tcPr>
          <w:p w14:paraId="65708D6F" w14:textId="102CBBED" w:rsidR="00B2451B" w:rsidRPr="006171FB" w:rsidRDefault="001046CF" w:rsidP="001046CF">
            <w:pPr>
              <w:ind w:right="-334"/>
              <w:jc w:val="center"/>
              <w:rPr>
                <w:rFonts w:ascii="Arial" w:hAnsi="Arial" w:cs="Arial"/>
              </w:rPr>
            </w:pPr>
            <w:r>
              <w:rPr>
                <w:rFonts w:ascii="Arial" w:hAnsi="Arial" w:cs="Arial"/>
              </w:rPr>
              <w:t>X</w:t>
            </w:r>
          </w:p>
        </w:tc>
        <w:tc>
          <w:tcPr>
            <w:tcW w:w="630" w:type="dxa"/>
            <w:shd w:val="clear" w:color="auto" w:fill="auto"/>
          </w:tcPr>
          <w:p w14:paraId="29EEC75F" w14:textId="77777777" w:rsidR="00B2451B" w:rsidRPr="006171FB" w:rsidRDefault="00B2451B" w:rsidP="001046CF">
            <w:pPr>
              <w:ind w:right="-334"/>
              <w:jc w:val="center"/>
              <w:rPr>
                <w:rFonts w:ascii="Arial" w:hAnsi="Arial" w:cs="Arial"/>
              </w:rPr>
            </w:pPr>
          </w:p>
        </w:tc>
        <w:tc>
          <w:tcPr>
            <w:tcW w:w="3533" w:type="dxa"/>
            <w:shd w:val="clear" w:color="auto" w:fill="auto"/>
          </w:tcPr>
          <w:p w14:paraId="48635E81" w14:textId="77777777" w:rsidR="00B2451B" w:rsidRPr="006171FB" w:rsidRDefault="00B2451B" w:rsidP="00D570C5">
            <w:pPr>
              <w:ind w:right="-334"/>
              <w:jc w:val="center"/>
              <w:rPr>
                <w:rFonts w:ascii="Arial" w:hAnsi="Arial" w:cs="Arial"/>
              </w:rPr>
            </w:pPr>
          </w:p>
        </w:tc>
      </w:tr>
      <w:tr w:rsidR="00B2451B" w:rsidRPr="006171FB" w14:paraId="034E242C" w14:textId="77777777" w:rsidTr="00480024">
        <w:tc>
          <w:tcPr>
            <w:tcW w:w="10417" w:type="dxa"/>
            <w:shd w:val="clear" w:color="auto" w:fill="auto"/>
          </w:tcPr>
          <w:p w14:paraId="106DB6B2" w14:textId="77777777" w:rsidR="00B2451B" w:rsidRPr="006171FB" w:rsidRDefault="00480024" w:rsidP="00EF1B08">
            <w:pPr>
              <w:numPr>
                <w:ilvl w:val="0"/>
                <w:numId w:val="7"/>
              </w:numPr>
              <w:ind w:left="432" w:right="-334"/>
              <w:rPr>
                <w:rFonts w:ascii="Arial" w:hAnsi="Arial" w:cs="Arial"/>
              </w:rPr>
            </w:pPr>
            <w:r>
              <w:rPr>
                <w:rFonts w:ascii="Arial" w:hAnsi="Arial" w:cs="Arial"/>
              </w:rPr>
              <w:t>Have beneficiary criteria been identified?</w:t>
            </w:r>
          </w:p>
        </w:tc>
        <w:tc>
          <w:tcPr>
            <w:tcW w:w="720" w:type="dxa"/>
            <w:shd w:val="clear" w:color="auto" w:fill="auto"/>
          </w:tcPr>
          <w:p w14:paraId="5C068AA7" w14:textId="1F322620" w:rsidR="00B2451B" w:rsidRPr="006171FB" w:rsidRDefault="001046CF" w:rsidP="001046CF">
            <w:pPr>
              <w:ind w:right="-334"/>
              <w:jc w:val="center"/>
              <w:rPr>
                <w:rFonts w:ascii="Arial" w:hAnsi="Arial" w:cs="Arial"/>
              </w:rPr>
            </w:pPr>
            <w:r>
              <w:rPr>
                <w:rFonts w:ascii="Arial" w:hAnsi="Arial" w:cs="Arial"/>
              </w:rPr>
              <w:t>X</w:t>
            </w:r>
          </w:p>
        </w:tc>
        <w:tc>
          <w:tcPr>
            <w:tcW w:w="630" w:type="dxa"/>
            <w:shd w:val="clear" w:color="auto" w:fill="auto"/>
          </w:tcPr>
          <w:p w14:paraId="02020728" w14:textId="77777777" w:rsidR="00B2451B" w:rsidRPr="006171FB" w:rsidRDefault="00B2451B" w:rsidP="001046CF">
            <w:pPr>
              <w:ind w:right="-334"/>
              <w:jc w:val="center"/>
              <w:rPr>
                <w:rFonts w:ascii="Arial" w:hAnsi="Arial" w:cs="Arial"/>
              </w:rPr>
            </w:pPr>
          </w:p>
        </w:tc>
        <w:tc>
          <w:tcPr>
            <w:tcW w:w="3533" w:type="dxa"/>
            <w:shd w:val="clear" w:color="auto" w:fill="auto"/>
          </w:tcPr>
          <w:p w14:paraId="22D93EE2" w14:textId="77777777" w:rsidR="00B2451B" w:rsidRPr="006171FB" w:rsidRDefault="00B2451B" w:rsidP="00D570C5">
            <w:pPr>
              <w:ind w:right="-334"/>
              <w:jc w:val="center"/>
              <w:rPr>
                <w:rFonts w:ascii="Arial" w:hAnsi="Arial" w:cs="Arial"/>
              </w:rPr>
            </w:pPr>
          </w:p>
        </w:tc>
      </w:tr>
      <w:tr w:rsidR="00B2451B" w:rsidRPr="006171FB" w14:paraId="150563C3" w14:textId="77777777" w:rsidTr="00480024">
        <w:tc>
          <w:tcPr>
            <w:tcW w:w="10417" w:type="dxa"/>
            <w:shd w:val="clear" w:color="auto" w:fill="auto"/>
          </w:tcPr>
          <w:p w14:paraId="67CE5BB6" w14:textId="77777777" w:rsidR="00B2451B" w:rsidRPr="006171FB" w:rsidRDefault="00480024" w:rsidP="00EF1B08">
            <w:pPr>
              <w:numPr>
                <w:ilvl w:val="0"/>
                <w:numId w:val="7"/>
              </w:numPr>
              <w:ind w:left="432" w:right="-334"/>
              <w:rPr>
                <w:rFonts w:ascii="Arial" w:hAnsi="Arial" w:cs="Arial"/>
              </w:rPr>
            </w:pPr>
            <w:r>
              <w:rPr>
                <w:rFonts w:ascii="Arial" w:hAnsi="Arial" w:cs="Arial"/>
              </w:rPr>
              <w:t>Have any agreements been made with the relevant Government counterparts relating to project implementation sites, approaches, Government contribution?</w:t>
            </w:r>
          </w:p>
        </w:tc>
        <w:tc>
          <w:tcPr>
            <w:tcW w:w="720" w:type="dxa"/>
            <w:shd w:val="clear" w:color="auto" w:fill="auto"/>
          </w:tcPr>
          <w:p w14:paraId="72A14A01" w14:textId="6BB5E1F2" w:rsidR="00B2451B" w:rsidRPr="006171FB" w:rsidRDefault="001046CF" w:rsidP="001046CF">
            <w:pPr>
              <w:ind w:right="-334"/>
              <w:jc w:val="center"/>
              <w:rPr>
                <w:rFonts w:ascii="Arial" w:hAnsi="Arial" w:cs="Arial"/>
              </w:rPr>
            </w:pPr>
            <w:r>
              <w:rPr>
                <w:rFonts w:ascii="Arial" w:hAnsi="Arial" w:cs="Arial"/>
              </w:rPr>
              <w:t>X</w:t>
            </w:r>
          </w:p>
        </w:tc>
        <w:tc>
          <w:tcPr>
            <w:tcW w:w="630" w:type="dxa"/>
            <w:shd w:val="clear" w:color="auto" w:fill="auto"/>
          </w:tcPr>
          <w:p w14:paraId="30A106FE" w14:textId="77777777" w:rsidR="00B2451B" w:rsidRPr="006171FB" w:rsidRDefault="00B2451B" w:rsidP="001046CF">
            <w:pPr>
              <w:ind w:right="-334"/>
              <w:jc w:val="center"/>
              <w:rPr>
                <w:rFonts w:ascii="Arial" w:hAnsi="Arial" w:cs="Arial"/>
              </w:rPr>
            </w:pPr>
          </w:p>
        </w:tc>
        <w:tc>
          <w:tcPr>
            <w:tcW w:w="3533" w:type="dxa"/>
            <w:shd w:val="clear" w:color="auto" w:fill="auto"/>
          </w:tcPr>
          <w:p w14:paraId="2C961737" w14:textId="77777777" w:rsidR="00B2451B" w:rsidRPr="006171FB" w:rsidRDefault="00B2451B" w:rsidP="00D570C5">
            <w:pPr>
              <w:ind w:right="-334"/>
              <w:jc w:val="center"/>
              <w:rPr>
                <w:rFonts w:ascii="Arial" w:hAnsi="Arial" w:cs="Arial"/>
              </w:rPr>
            </w:pPr>
          </w:p>
        </w:tc>
      </w:tr>
      <w:tr w:rsidR="00480024" w:rsidRPr="006171FB" w14:paraId="582AF139" w14:textId="77777777" w:rsidTr="00480024">
        <w:tc>
          <w:tcPr>
            <w:tcW w:w="10417" w:type="dxa"/>
            <w:shd w:val="clear" w:color="auto" w:fill="auto"/>
          </w:tcPr>
          <w:p w14:paraId="0AD0EDF5" w14:textId="77777777" w:rsidR="00480024" w:rsidRDefault="00480024" w:rsidP="00EF1B08">
            <w:pPr>
              <w:numPr>
                <w:ilvl w:val="0"/>
                <w:numId w:val="7"/>
              </w:numPr>
              <w:ind w:left="432" w:right="-334"/>
              <w:rPr>
                <w:rFonts w:ascii="Arial" w:hAnsi="Arial" w:cs="Arial"/>
              </w:rPr>
            </w:pPr>
            <w:r>
              <w:rPr>
                <w:rFonts w:ascii="Arial" w:hAnsi="Arial" w:cs="Arial"/>
              </w:rPr>
              <w:t>Have clear arrangements been made on project implementing approach between project recipient organizations?</w:t>
            </w:r>
          </w:p>
        </w:tc>
        <w:tc>
          <w:tcPr>
            <w:tcW w:w="720" w:type="dxa"/>
            <w:shd w:val="clear" w:color="auto" w:fill="auto"/>
          </w:tcPr>
          <w:p w14:paraId="0C4599BD" w14:textId="61ED67D9" w:rsidR="00480024" w:rsidRPr="006171FB" w:rsidRDefault="001046CF" w:rsidP="001046CF">
            <w:pPr>
              <w:ind w:right="-334"/>
              <w:jc w:val="center"/>
              <w:rPr>
                <w:rFonts w:ascii="Arial" w:hAnsi="Arial" w:cs="Arial"/>
              </w:rPr>
            </w:pPr>
            <w:r>
              <w:rPr>
                <w:rFonts w:ascii="Arial" w:hAnsi="Arial" w:cs="Arial"/>
              </w:rPr>
              <w:t>X</w:t>
            </w:r>
          </w:p>
        </w:tc>
        <w:tc>
          <w:tcPr>
            <w:tcW w:w="630" w:type="dxa"/>
            <w:shd w:val="clear" w:color="auto" w:fill="auto"/>
          </w:tcPr>
          <w:p w14:paraId="652790F2" w14:textId="77777777" w:rsidR="00480024" w:rsidRPr="006171FB" w:rsidRDefault="00480024" w:rsidP="001046CF">
            <w:pPr>
              <w:ind w:right="-334"/>
              <w:jc w:val="center"/>
              <w:rPr>
                <w:rFonts w:ascii="Arial" w:hAnsi="Arial" w:cs="Arial"/>
              </w:rPr>
            </w:pPr>
          </w:p>
        </w:tc>
        <w:tc>
          <w:tcPr>
            <w:tcW w:w="3533" w:type="dxa"/>
            <w:shd w:val="clear" w:color="auto" w:fill="auto"/>
          </w:tcPr>
          <w:p w14:paraId="39F070FA" w14:textId="77777777" w:rsidR="00480024" w:rsidRPr="006171FB" w:rsidRDefault="00480024" w:rsidP="00D570C5">
            <w:pPr>
              <w:ind w:right="-334"/>
              <w:jc w:val="center"/>
              <w:rPr>
                <w:rFonts w:ascii="Arial" w:hAnsi="Arial" w:cs="Arial"/>
              </w:rPr>
            </w:pPr>
          </w:p>
        </w:tc>
      </w:tr>
      <w:tr w:rsidR="00480024" w:rsidRPr="006171FB" w14:paraId="54E6A0A9" w14:textId="77777777" w:rsidTr="00480024">
        <w:tc>
          <w:tcPr>
            <w:tcW w:w="10417" w:type="dxa"/>
            <w:shd w:val="clear" w:color="auto" w:fill="auto"/>
          </w:tcPr>
          <w:p w14:paraId="0274FFB6" w14:textId="77777777" w:rsidR="00480024" w:rsidRPr="006171FB" w:rsidRDefault="00480024" w:rsidP="00EF1B08">
            <w:pPr>
              <w:numPr>
                <w:ilvl w:val="0"/>
                <w:numId w:val="7"/>
              </w:numPr>
              <w:ind w:left="432"/>
              <w:rPr>
                <w:rFonts w:ascii="Arial" w:hAnsi="Arial" w:cs="Arial"/>
              </w:rPr>
            </w:pPr>
            <w:r>
              <w:rPr>
                <w:rFonts w:ascii="Arial" w:hAnsi="Arial" w:cs="Arial"/>
              </w:rPr>
              <w:t>What other preparatory activities need to be undertaken before actual project implementation can begin and how long will this take?</w:t>
            </w:r>
          </w:p>
        </w:tc>
        <w:tc>
          <w:tcPr>
            <w:tcW w:w="1350" w:type="dxa"/>
            <w:gridSpan w:val="2"/>
            <w:shd w:val="clear" w:color="auto" w:fill="auto"/>
          </w:tcPr>
          <w:p w14:paraId="5D82A116" w14:textId="77777777" w:rsidR="00480024" w:rsidRPr="006171FB" w:rsidRDefault="00480024" w:rsidP="001046CF">
            <w:pPr>
              <w:ind w:right="-334"/>
              <w:jc w:val="center"/>
              <w:rPr>
                <w:rFonts w:ascii="Arial" w:hAnsi="Arial" w:cs="Arial"/>
              </w:rPr>
            </w:pPr>
            <w:r>
              <w:rPr>
                <w:rFonts w:ascii="Arial" w:hAnsi="Arial" w:cs="Arial"/>
              </w:rPr>
              <w:t>N/A</w:t>
            </w:r>
          </w:p>
        </w:tc>
        <w:tc>
          <w:tcPr>
            <w:tcW w:w="3533" w:type="dxa"/>
            <w:shd w:val="clear" w:color="auto" w:fill="auto"/>
          </w:tcPr>
          <w:p w14:paraId="776ABD21" w14:textId="2D8E042B" w:rsidR="00480024" w:rsidRPr="006171FB" w:rsidRDefault="00480024" w:rsidP="00D570C5">
            <w:pPr>
              <w:ind w:right="-334"/>
              <w:jc w:val="center"/>
              <w:rPr>
                <w:rFonts w:ascii="Arial" w:hAnsi="Arial" w:cs="Arial"/>
              </w:rPr>
            </w:pPr>
          </w:p>
        </w:tc>
      </w:tr>
      <w:tr w:rsidR="00B2451B" w:rsidRPr="006171FB" w14:paraId="624B9168" w14:textId="77777777" w:rsidTr="00480024">
        <w:tc>
          <w:tcPr>
            <w:tcW w:w="10417" w:type="dxa"/>
            <w:shd w:val="clear" w:color="auto" w:fill="auto"/>
          </w:tcPr>
          <w:p w14:paraId="2EAE4F09" w14:textId="77777777" w:rsidR="00B2451B" w:rsidRPr="006171FB" w:rsidRDefault="00B2451B" w:rsidP="00D570C5">
            <w:pPr>
              <w:ind w:right="-334"/>
              <w:rPr>
                <w:rFonts w:ascii="Arial" w:hAnsi="Arial" w:cs="Arial"/>
              </w:rPr>
            </w:pPr>
          </w:p>
        </w:tc>
        <w:tc>
          <w:tcPr>
            <w:tcW w:w="720" w:type="dxa"/>
            <w:shd w:val="clear" w:color="auto" w:fill="auto"/>
          </w:tcPr>
          <w:p w14:paraId="701AC55D" w14:textId="77777777" w:rsidR="00B2451B" w:rsidRPr="006171FB" w:rsidRDefault="00B2451B" w:rsidP="001046CF">
            <w:pPr>
              <w:ind w:right="-334"/>
              <w:jc w:val="center"/>
              <w:rPr>
                <w:rFonts w:ascii="Arial" w:hAnsi="Arial" w:cs="Arial"/>
              </w:rPr>
            </w:pPr>
          </w:p>
        </w:tc>
        <w:tc>
          <w:tcPr>
            <w:tcW w:w="630" w:type="dxa"/>
            <w:shd w:val="clear" w:color="auto" w:fill="auto"/>
          </w:tcPr>
          <w:p w14:paraId="4E126A5C" w14:textId="77777777" w:rsidR="00B2451B" w:rsidRPr="006171FB" w:rsidRDefault="00B2451B" w:rsidP="001046CF">
            <w:pPr>
              <w:ind w:right="-334"/>
              <w:jc w:val="center"/>
              <w:rPr>
                <w:rFonts w:ascii="Arial" w:hAnsi="Arial" w:cs="Arial"/>
              </w:rPr>
            </w:pPr>
          </w:p>
        </w:tc>
        <w:tc>
          <w:tcPr>
            <w:tcW w:w="3533" w:type="dxa"/>
            <w:shd w:val="clear" w:color="auto" w:fill="auto"/>
          </w:tcPr>
          <w:p w14:paraId="338722B7" w14:textId="77777777" w:rsidR="00B2451B" w:rsidRPr="006171FB" w:rsidRDefault="00B2451B" w:rsidP="00D570C5">
            <w:pPr>
              <w:ind w:right="-334"/>
              <w:jc w:val="center"/>
              <w:rPr>
                <w:rFonts w:ascii="Arial" w:hAnsi="Arial" w:cs="Arial"/>
              </w:rPr>
            </w:pPr>
          </w:p>
        </w:tc>
      </w:tr>
    </w:tbl>
    <w:p w14:paraId="08163533" w14:textId="1BC8EC38" w:rsidR="000E7B43" w:rsidRDefault="000E7B43" w:rsidP="00D570C5"/>
    <w:p w14:paraId="061AF28B" w14:textId="77777777" w:rsidR="000E7B43" w:rsidRDefault="000E7B43" w:rsidP="00D570C5">
      <w:r>
        <w:br w:type="page"/>
      </w:r>
    </w:p>
    <w:p w14:paraId="7D17F96E" w14:textId="13E21715" w:rsidR="00B2451B" w:rsidRPr="00F90356" w:rsidRDefault="000E7B43" w:rsidP="00D570C5">
      <w:pPr>
        <w:rPr>
          <w:b/>
        </w:rPr>
      </w:pPr>
      <w:r w:rsidRPr="00F90356">
        <w:rPr>
          <w:b/>
        </w:rPr>
        <w:lastRenderedPageBreak/>
        <w:t>Annex D: Detailed and UNDG budgets (attached Excel sheet)</w:t>
      </w:r>
    </w:p>
    <w:sectPr w:rsidR="00B2451B" w:rsidRPr="00F90356" w:rsidSect="00B2451B">
      <w:pgSz w:w="16838" w:h="11906" w:orient="landscape"/>
      <w:pgMar w:top="1800" w:right="1440" w:bottom="14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FC5A7" w14:textId="77777777" w:rsidR="00BA7646" w:rsidRDefault="00BA7646">
      <w:r>
        <w:separator/>
      </w:r>
    </w:p>
  </w:endnote>
  <w:endnote w:type="continuationSeparator" w:id="0">
    <w:p w14:paraId="3761ED19" w14:textId="77777777" w:rsidR="00BA7646" w:rsidRDefault="00BA7646">
      <w:r>
        <w:continuationSeparator/>
      </w:r>
    </w:p>
  </w:endnote>
  <w:endnote w:type="continuationNotice" w:id="1">
    <w:p w14:paraId="7DEC0736" w14:textId="77777777" w:rsidR="00BA7646" w:rsidRDefault="00BA7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NewRomanPS-BoldMT">
    <w:altName w:val="Times New Roman"/>
    <w:panose1 w:val="00000000000000000000"/>
    <w:charset w:val="00"/>
    <w:family w:val="swiss"/>
    <w:notTrueType/>
    <w:pitch w:val="default"/>
    <w:sig w:usb0="00000000" w:usb1="00000000" w:usb2="00000000" w:usb3="00000000" w:csb0="00000041"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EA57" w14:textId="77777777" w:rsidR="009F74EB" w:rsidRDefault="009F74EB" w:rsidP="00AB6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AC406" w14:textId="77777777" w:rsidR="009F74EB" w:rsidRDefault="009F74EB" w:rsidP="00D34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6DB0" w14:textId="655F020B" w:rsidR="009F74EB" w:rsidRDefault="009F74EB" w:rsidP="00AB6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761B88E" w14:textId="77777777" w:rsidR="009F74EB" w:rsidRDefault="009F74EB" w:rsidP="00D341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16DB1" w14:textId="77777777" w:rsidR="00BA7646" w:rsidRDefault="00BA7646">
      <w:r>
        <w:separator/>
      </w:r>
    </w:p>
  </w:footnote>
  <w:footnote w:type="continuationSeparator" w:id="0">
    <w:p w14:paraId="14D2AEDB" w14:textId="77777777" w:rsidR="00BA7646" w:rsidRDefault="00BA7646">
      <w:r>
        <w:continuationSeparator/>
      </w:r>
    </w:p>
  </w:footnote>
  <w:footnote w:type="continuationNotice" w:id="1">
    <w:p w14:paraId="7577B46F" w14:textId="77777777" w:rsidR="00BA7646" w:rsidRDefault="00BA7646"/>
  </w:footnote>
  <w:footnote w:id="2">
    <w:p w14:paraId="0964B96E" w14:textId="77777777" w:rsidR="000C2135" w:rsidRPr="00DC08ED" w:rsidRDefault="000C2135" w:rsidP="000C2135">
      <w:pPr>
        <w:pStyle w:val="FootnoteText"/>
        <w:rPr>
          <w:lang w:val="en-US"/>
        </w:rPr>
      </w:pPr>
      <w:r>
        <w:rPr>
          <w:rStyle w:val="FootnoteReference"/>
        </w:rPr>
        <w:footnoteRef/>
      </w:r>
      <w:r>
        <w:t xml:space="preserve"> </w:t>
      </w:r>
      <w:r w:rsidRPr="00DC08ED">
        <w:t>References to Kosovo shall be understood to be in the context of Security Council Resolution 1244 (1999)</w:t>
      </w:r>
    </w:p>
  </w:footnote>
  <w:footnote w:id="3">
    <w:p w14:paraId="0024C8AC" w14:textId="537505AD" w:rsidR="009F74EB" w:rsidRPr="00584237" w:rsidRDefault="009F74EB">
      <w:pPr>
        <w:pStyle w:val="FootnoteText"/>
      </w:pPr>
      <w:r>
        <w:rPr>
          <w:rStyle w:val="FootnoteReference"/>
        </w:rPr>
        <w:footnoteRef/>
      </w:r>
      <w:r>
        <w:t xml:space="preserve"> Note: actual commencement date will be the date of first funds transfer.</w:t>
      </w:r>
    </w:p>
  </w:footnote>
  <w:footnote w:id="4">
    <w:p w14:paraId="2391A7F4" w14:textId="1DEC6CE0" w:rsidR="009F74EB" w:rsidRPr="00584237" w:rsidRDefault="009F74EB">
      <w:pPr>
        <w:pStyle w:val="FootnoteText"/>
      </w:pPr>
      <w:r>
        <w:rPr>
          <w:rStyle w:val="FootnoteReference"/>
        </w:rPr>
        <w:footnoteRef/>
      </w:r>
      <w:r>
        <w:t xml:space="preserve"> Maximum project duration for IRF projects is 18 months, for PRF projects – 36 months.</w:t>
      </w:r>
    </w:p>
  </w:footnote>
  <w:footnote w:id="5">
    <w:p w14:paraId="2FC411E8" w14:textId="77777777" w:rsidR="009F74EB" w:rsidRPr="00D649CA" w:rsidRDefault="009F74EB" w:rsidP="00D649CA">
      <w:pPr>
        <w:jc w:val="both"/>
        <w:rPr>
          <w:rFonts w:cs="Calibri"/>
          <w:sz w:val="20"/>
          <w:szCs w:val="20"/>
        </w:rPr>
      </w:pPr>
      <w:r>
        <w:rPr>
          <w:rStyle w:val="FootnoteReference"/>
        </w:rPr>
        <w:footnoteRef/>
      </w:r>
      <w:r>
        <w:t xml:space="preserve"> </w:t>
      </w:r>
      <w:r w:rsidRPr="00D649CA">
        <w:rPr>
          <w:rFonts w:cs="Calibri"/>
          <w:b/>
          <w:bCs/>
          <w:sz w:val="20"/>
          <w:szCs w:val="20"/>
        </w:rPr>
        <w:t>Score 3</w:t>
      </w:r>
      <w:r w:rsidRPr="00D649CA">
        <w:rPr>
          <w:rFonts w:cs="Calibri"/>
          <w:sz w:val="20"/>
          <w:szCs w:val="20"/>
        </w:rPr>
        <w:t xml:space="preserve"> for projects that have gender equality as a principal objective </w:t>
      </w:r>
    </w:p>
    <w:p w14:paraId="0FEFAD01" w14:textId="77777777" w:rsidR="009F74EB" w:rsidRPr="00D649CA" w:rsidRDefault="009F74EB" w:rsidP="00D649CA">
      <w:pPr>
        <w:jc w:val="both"/>
        <w:rPr>
          <w:rFonts w:cs="Calibri"/>
          <w:sz w:val="20"/>
          <w:szCs w:val="20"/>
        </w:rPr>
      </w:pPr>
      <w:r w:rsidRPr="00D649CA">
        <w:rPr>
          <w:rFonts w:cs="Calibri"/>
          <w:b/>
          <w:bCs/>
          <w:sz w:val="20"/>
          <w:szCs w:val="20"/>
        </w:rPr>
        <w:t>Score 2</w:t>
      </w:r>
      <w:r w:rsidRPr="00D649CA">
        <w:rPr>
          <w:rFonts w:cs="Calibri"/>
          <w:sz w:val="20"/>
          <w:szCs w:val="20"/>
        </w:rPr>
        <w:t xml:space="preserve"> for projects that have gender equality as a significant objective </w:t>
      </w:r>
    </w:p>
    <w:p w14:paraId="78CCA9EB" w14:textId="77777777" w:rsidR="009F74EB" w:rsidRPr="00D649CA" w:rsidRDefault="009F74EB" w:rsidP="006379CF">
      <w:pPr>
        <w:jc w:val="both"/>
      </w:pPr>
      <w:r w:rsidRPr="00D649CA">
        <w:rPr>
          <w:rFonts w:cs="Calibri"/>
          <w:b/>
          <w:bCs/>
          <w:sz w:val="20"/>
          <w:szCs w:val="20"/>
        </w:rPr>
        <w:t>Score 1</w:t>
      </w:r>
      <w:r w:rsidRPr="00D649CA">
        <w:rPr>
          <w:rFonts w:cs="Calibri"/>
          <w:sz w:val="20"/>
          <w:szCs w:val="20"/>
        </w:rPr>
        <w:t xml:space="preserve"> for projects that contribute in some way to gender equality, but not significantly (less than 15% of budget)</w:t>
      </w:r>
    </w:p>
  </w:footnote>
  <w:footnote w:id="6">
    <w:p w14:paraId="394907F5" w14:textId="6C2DA4BD" w:rsidR="009F74EB" w:rsidRPr="006379CF" w:rsidRDefault="009F74EB" w:rsidP="006379CF">
      <w:pPr>
        <w:jc w:val="both"/>
        <w:rPr>
          <w:rFonts w:cs="Calibri"/>
          <w:sz w:val="20"/>
          <w:szCs w:val="20"/>
        </w:rPr>
      </w:pPr>
      <w:r>
        <w:rPr>
          <w:rStyle w:val="FootnoteReference"/>
        </w:rPr>
        <w:footnoteRef/>
      </w:r>
      <w:r>
        <w:t xml:space="preserve"> </w:t>
      </w:r>
      <w:r w:rsidRPr="006379CF">
        <w:rPr>
          <w:rFonts w:cs="Calibri"/>
          <w:b/>
          <w:bCs/>
          <w:sz w:val="20"/>
          <w:szCs w:val="20"/>
        </w:rPr>
        <w:t>Risk marker 0</w:t>
      </w:r>
      <w:r w:rsidRPr="006379CF">
        <w:rPr>
          <w:rFonts w:cs="Calibri"/>
          <w:sz w:val="20"/>
          <w:szCs w:val="20"/>
        </w:rPr>
        <w:t xml:space="preserve"> = low risk to achieving outcomes</w:t>
      </w:r>
    </w:p>
    <w:p w14:paraId="41C3115A" w14:textId="727D45CD" w:rsidR="009F74EB" w:rsidRPr="006379CF" w:rsidRDefault="009F74EB" w:rsidP="006379CF">
      <w:pPr>
        <w:jc w:val="both"/>
        <w:rPr>
          <w:rFonts w:cs="Calibri"/>
          <w:sz w:val="20"/>
          <w:szCs w:val="20"/>
        </w:rPr>
      </w:pPr>
      <w:r w:rsidRPr="006379CF">
        <w:rPr>
          <w:rFonts w:cs="Calibri"/>
          <w:b/>
          <w:bCs/>
          <w:sz w:val="20"/>
          <w:szCs w:val="20"/>
        </w:rPr>
        <w:t>Risk marker 1</w:t>
      </w:r>
      <w:r w:rsidRPr="006379CF">
        <w:rPr>
          <w:rFonts w:cs="Calibri"/>
          <w:sz w:val="20"/>
          <w:szCs w:val="20"/>
        </w:rPr>
        <w:t xml:space="preserve"> = medium risk to achieving outcomes</w:t>
      </w:r>
    </w:p>
    <w:p w14:paraId="1C8BF257" w14:textId="53688F73" w:rsidR="009F74EB" w:rsidRPr="006379CF" w:rsidRDefault="009F74EB" w:rsidP="006379CF">
      <w:pPr>
        <w:jc w:val="both"/>
        <w:rPr>
          <w:lang w:val="en-GB"/>
        </w:rPr>
      </w:pPr>
      <w:r w:rsidRPr="006379CF">
        <w:rPr>
          <w:rFonts w:cs="Calibri"/>
          <w:b/>
          <w:bCs/>
          <w:sz w:val="20"/>
          <w:szCs w:val="20"/>
        </w:rPr>
        <w:t>Risk marker 2</w:t>
      </w:r>
      <w:r w:rsidRPr="006379CF">
        <w:rPr>
          <w:rFonts w:cs="Calibri"/>
          <w:sz w:val="20"/>
          <w:szCs w:val="20"/>
        </w:rPr>
        <w:t xml:space="preserve"> = high risk to achieving outcomes</w:t>
      </w:r>
    </w:p>
  </w:footnote>
  <w:footnote w:id="7">
    <w:p w14:paraId="5EC96714" w14:textId="77777777" w:rsidR="009F74EB" w:rsidRDefault="009F74EB" w:rsidP="006379CF">
      <w:pPr>
        <w:pStyle w:val="FootnoteText"/>
        <w:rPr>
          <w:sz w:val="18"/>
          <w:szCs w:val="18"/>
        </w:rPr>
      </w:pPr>
      <w:r>
        <w:rPr>
          <w:rStyle w:val="FootnoteReference"/>
        </w:rPr>
        <w:footnoteRef/>
      </w:r>
      <w:r>
        <w:t xml:space="preserve"> </w:t>
      </w:r>
      <w:r w:rsidRPr="001F39EB">
        <w:rPr>
          <w:sz w:val="18"/>
          <w:szCs w:val="18"/>
        </w:rPr>
        <w:t xml:space="preserve"> </w:t>
      </w:r>
      <w:r w:rsidRPr="006379CF">
        <w:rPr>
          <w:b/>
          <w:bCs/>
          <w:sz w:val="18"/>
          <w:szCs w:val="18"/>
        </w:rPr>
        <w:t>PBF Focus Areas</w:t>
      </w:r>
      <w:r>
        <w:rPr>
          <w:sz w:val="18"/>
          <w:szCs w:val="18"/>
        </w:rPr>
        <w:t xml:space="preserve"> are:</w:t>
      </w:r>
    </w:p>
    <w:p w14:paraId="0E500A41" w14:textId="58057E94" w:rsidR="009F74EB" w:rsidRPr="001F39EB" w:rsidRDefault="009F74EB" w:rsidP="006379CF">
      <w:pPr>
        <w:pStyle w:val="FootnoteText"/>
        <w:rPr>
          <w:sz w:val="18"/>
          <w:szCs w:val="18"/>
        </w:rPr>
      </w:pPr>
      <w:r w:rsidRPr="001F39EB">
        <w:rPr>
          <w:sz w:val="18"/>
          <w:szCs w:val="18"/>
        </w:rPr>
        <w:t xml:space="preserve">(1.1) </w:t>
      </w:r>
      <w:r w:rsidRPr="001F39EB">
        <w:rPr>
          <w:bCs/>
          <w:sz w:val="18"/>
          <w:szCs w:val="18"/>
        </w:rPr>
        <w:t xml:space="preserve">SSR, </w:t>
      </w:r>
      <w:r w:rsidRPr="001F39EB">
        <w:rPr>
          <w:sz w:val="18"/>
          <w:szCs w:val="18"/>
        </w:rPr>
        <w:t>(1.2)</w:t>
      </w:r>
      <w:r w:rsidRPr="001F39EB">
        <w:rPr>
          <w:bCs/>
          <w:sz w:val="18"/>
          <w:szCs w:val="18"/>
        </w:rPr>
        <w:t xml:space="preserve"> R</w:t>
      </w:r>
      <w:r>
        <w:rPr>
          <w:bCs/>
          <w:sz w:val="18"/>
          <w:szCs w:val="18"/>
        </w:rPr>
        <w:t xml:space="preserve">ule </w:t>
      </w:r>
      <w:r w:rsidRPr="001F39EB">
        <w:rPr>
          <w:bCs/>
          <w:sz w:val="18"/>
          <w:szCs w:val="18"/>
        </w:rPr>
        <w:t>o</w:t>
      </w:r>
      <w:r>
        <w:rPr>
          <w:bCs/>
          <w:sz w:val="18"/>
          <w:szCs w:val="18"/>
        </w:rPr>
        <w:t xml:space="preserve">f </w:t>
      </w:r>
      <w:r w:rsidRPr="001F39EB">
        <w:rPr>
          <w:bCs/>
          <w:sz w:val="18"/>
          <w:szCs w:val="18"/>
        </w:rPr>
        <w:t>L</w:t>
      </w:r>
      <w:r>
        <w:rPr>
          <w:bCs/>
          <w:sz w:val="18"/>
          <w:szCs w:val="18"/>
        </w:rPr>
        <w:t>aw</w:t>
      </w:r>
      <w:r w:rsidRPr="001F39EB">
        <w:rPr>
          <w:sz w:val="18"/>
          <w:szCs w:val="18"/>
        </w:rPr>
        <w:t xml:space="preserve">; (1.3) DDR; (1.4) Political Dialogue; </w:t>
      </w:r>
    </w:p>
    <w:p w14:paraId="2FA61317" w14:textId="3551A388" w:rsidR="009F74EB" w:rsidRPr="001F39EB" w:rsidRDefault="009F74EB" w:rsidP="006379CF">
      <w:pPr>
        <w:pStyle w:val="FootnoteText"/>
        <w:rPr>
          <w:sz w:val="18"/>
          <w:szCs w:val="18"/>
        </w:rPr>
      </w:pPr>
      <w:r w:rsidRPr="001F39EB">
        <w:rPr>
          <w:sz w:val="18"/>
          <w:szCs w:val="18"/>
        </w:rPr>
        <w:t xml:space="preserve">(2.1) National </w:t>
      </w:r>
      <w:r>
        <w:rPr>
          <w:sz w:val="18"/>
          <w:szCs w:val="18"/>
        </w:rPr>
        <w:t>reconciliation; (2.2</w:t>
      </w:r>
      <w:r w:rsidRPr="001F39EB">
        <w:rPr>
          <w:sz w:val="18"/>
          <w:szCs w:val="18"/>
        </w:rPr>
        <w:t xml:space="preserve">) Democratic Governance; (2.3) </w:t>
      </w:r>
      <w:r>
        <w:rPr>
          <w:sz w:val="18"/>
          <w:szCs w:val="18"/>
        </w:rPr>
        <w:t>Conflict prevention/management</w:t>
      </w:r>
      <w:r w:rsidRPr="001F39EB">
        <w:rPr>
          <w:sz w:val="18"/>
          <w:szCs w:val="18"/>
        </w:rPr>
        <w:t xml:space="preserve">; </w:t>
      </w:r>
    </w:p>
    <w:p w14:paraId="11372B08" w14:textId="5F4A7DA6" w:rsidR="009F74EB" w:rsidRPr="001F39EB" w:rsidRDefault="009F74EB" w:rsidP="006379CF">
      <w:pPr>
        <w:pStyle w:val="FootnoteText"/>
        <w:rPr>
          <w:sz w:val="18"/>
          <w:szCs w:val="18"/>
        </w:rPr>
      </w:pPr>
      <w:r w:rsidRPr="001F39EB">
        <w:rPr>
          <w:sz w:val="18"/>
          <w:szCs w:val="18"/>
        </w:rPr>
        <w:t xml:space="preserve">(3.1) </w:t>
      </w:r>
      <w:r>
        <w:rPr>
          <w:sz w:val="18"/>
          <w:szCs w:val="18"/>
        </w:rPr>
        <w:t>E</w:t>
      </w:r>
      <w:r w:rsidRPr="001F39EB">
        <w:rPr>
          <w:sz w:val="18"/>
          <w:szCs w:val="18"/>
        </w:rPr>
        <w:t xml:space="preserve">mployment; (3.2) </w:t>
      </w:r>
      <w:r>
        <w:rPr>
          <w:sz w:val="18"/>
          <w:szCs w:val="18"/>
        </w:rPr>
        <w:t>Equitable access to social services</w:t>
      </w:r>
    </w:p>
    <w:p w14:paraId="0C7A84F0" w14:textId="0E2068E3" w:rsidR="009F74EB" w:rsidRDefault="009F74EB" w:rsidP="006379CF">
      <w:pPr>
        <w:pStyle w:val="Header"/>
        <w:tabs>
          <w:tab w:val="clear" w:pos="4320"/>
          <w:tab w:val="clear" w:pos="8640"/>
        </w:tabs>
        <w:rPr>
          <w:bCs/>
          <w:sz w:val="18"/>
          <w:szCs w:val="18"/>
        </w:rPr>
      </w:pPr>
      <w:r w:rsidRPr="001F39EB">
        <w:rPr>
          <w:bCs/>
          <w:sz w:val="18"/>
          <w:szCs w:val="18"/>
        </w:rPr>
        <w:t xml:space="preserve">(4.1) </w:t>
      </w:r>
      <w:r>
        <w:rPr>
          <w:bCs/>
          <w:sz w:val="18"/>
          <w:szCs w:val="18"/>
        </w:rPr>
        <w:t>Strengthening of essential national state capacity</w:t>
      </w:r>
      <w:r w:rsidRPr="001F39EB">
        <w:rPr>
          <w:bCs/>
          <w:sz w:val="18"/>
          <w:szCs w:val="18"/>
        </w:rPr>
        <w:t xml:space="preserve">; (4.2) </w:t>
      </w:r>
      <w:r>
        <w:rPr>
          <w:bCs/>
          <w:sz w:val="18"/>
          <w:szCs w:val="18"/>
        </w:rPr>
        <w:t>extension of state authority/local administration; (4.3) Governance of peacebuilding resources (including PBF Secretariats)</w:t>
      </w:r>
    </w:p>
    <w:p w14:paraId="144AD301" w14:textId="7032CE2C" w:rsidR="009F74EB" w:rsidRPr="006379CF" w:rsidRDefault="009F74EB">
      <w:pPr>
        <w:pStyle w:val="FootnoteText"/>
      </w:pPr>
    </w:p>
  </w:footnote>
  <w:footnote w:id="8">
    <w:p w14:paraId="7483DB6E" w14:textId="7CE3822B" w:rsidR="009F74EB" w:rsidRPr="00621DCA" w:rsidRDefault="009F74EB">
      <w:pPr>
        <w:pStyle w:val="FootnoteText"/>
        <w:rPr>
          <w:lang w:val="en-US"/>
        </w:rPr>
      </w:pPr>
      <w:r>
        <w:rPr>
          <w:rStyle w:val="FootnoteReference"/>
        </w:rPr>
        <w:footnoteRef/>
      </w:r>
      <w:r>
        <w:t xml:space="preserve"> </w:t>
      </w:r>
      <w:r>
        <w:rPr>
          <w:lang w:val="en-US"/>
        </w:rPr>
        <w:t>Please include a separate signature block for each direct recipient organization under this project.</w:t>
      </w:r>
    </w:p>
  </w:footnote>
  <w:footnote w:id="9">
    <w:p w14:paraId="608CEE95" w14:textId="590B29FC" w:rsidR="009F74EB" w:rsidRPr="00335BCA" w:rsidRDefault="009F74EB">
      <w:pPr>
        <w:pStyle w:val="FootnoteText"/>
        <w:rPr>
          <w:lang w:val="cs-CZ"/>
        </w:rPr>
      </w:pPr>
      <w:r>
        <w:rPr>
          <w:rStyle w:val="FootnoteReference"/>
        </w:rPr>
        <w:footnoteRef/>
      </w:r>
      <w:r>
        <w:t xml:space="preserve"> </w:t>
      </w:r>
      <w:r w:rsidRPr="00335BCA">
        <w:rPr>
          <w:sz w:val="16"/>
          <w:szCs w:val="16"/>
          <w:lang w:val="en-US"/>
        </w:rPr>
        <w:t xml:space="preserve">Public Pulse XIII, UNDP, November 2017, </w:t>
      </w:r>
      <w:hyperlink r:id="rId1" w:history="1">
        <w:r w:rsidRPr="00335BCA">
          <w:rPr>
            <w:rStyle w:val="Hyperlink"/>
            <w:sz w:val="16"/>
            <w:szCs w:val="16"/>
            <w:lang w:val="en-US"/>
          </w:rPr>
          <w:t>http://www.ks.undp.org/content/kosovo/en/home/library/democratic_governance/public-pulse-xiii/</w:t>
        </w:r>
      </w:hyperlink>
    </w:p>
  </w:footnote>
  <w:footnote w:id="10">
    <w:p w14:paraId="227289FB" w14:textId="77777777" w:rsidR="009F74EB" w:rsidRPr="00ED726F" w:rsidRDefault="009F74EB" w:rsidP="00196840">
      <w:pPr>
        <w:pStyle w:val="FootnoteText"/>
        <w:rPr>
          <w:lang w:val="en-US"/>
        </w:rPr>
      </w:pPr>
      <w:r w:rsidRPr="00335BCA">
        <w:rPr>
          <w:szCs w:val="16"/>
          <w:vertAlign w:val="superscript"/>
          <w:lang w:val="en-US"/>
        </w:rPr>
        <w:footnoteRef/>
      </w:r>
      <w:r w:rsidRPr="00335BCA">
        <w:rPr>
          <w:szCs w:val="16"/>
          <w:vertAlign w:val="superscript"/>
          <w:lang w:val="en-US"/>
        </w:rPr>
        <w:t xml:space="preserve"> </w:t>
      </w:r>
      <w:proofErr w:type="spellStart"/>
      <w:r w:rsidRPr="00335BCA">
        <w:rPr>
          <w:sz w:val="16"/>
          <w:szCs w:val="16"/>
          <w:lang w:val="en-US"/>
        </w:rPr>
        <w:t>Labour</w:t>
      </w:r>
      <w:proofErr w:type="spellEnd"/>
      <w:r w:rsidRPr="00335BCA">
        <w:rPr>
          <w:sz w:val="16"/>
          <w:szCs w:val="16"/>
          <w:lang w:val="en-US"/>
        </w:rPr>
        <w:t xml:space="preserve"> Force Survey 2017, Kosovo Agency of Statistics, </w:t>
      </w:r>
      <w:hyperlink r:id="rId2" w:history="1">
        <w:r w:rsidRPr="00335BCA">
          <w:rPr>
            <w:rStyle w:val="Hyperlink"/>
            <w:sz w:val="16"/>
            <w:szCs w:val="16"/>
            <w:lang w:val="en-US"/>
          </w:rPr>
          <w:t>http://ask.rks-gov.net/media/3989/labour-force-survey-2017.pdf</w:t>
        </w:r>
      </w:hyperlink>
    </w:p>
  </w:footnote>
  <w:footnote w:id="11">
    <w:p w14:paraId="1F242373" w14:textId="77777777" w:rsidR="009F74EB" w:rsidRPr="00ED726F" w:rsidRDefault="009F74EB" w:rsidP="00196840">
      <w:pPr>
        <w:pStyle w:val="FootnoteText"/>
        <w:rPr>
          <w:lang w:val="en-US"/>
        </w:rPr>
      </w:pPr>
      <w:r w:rsidRPr="00ED726F">
        <w:rPr>
          <w:rStyle w:val="FootnoteReference"/>
        </w:rPr>
        <w:footnoteRef/>
      </w:r>
      <w:r w:rsidRPr="00ED726F">
        <w:t xml:space="preserve"> </w:t>
      </w:r>
      <w:proofErr w:type="spellStart"/>
      <w:r w:rsidRPr="00335BCA">
        <w:rPr>
          <w:sz w:val="16"/>
          <w:szCs w:val="16"/>
          <w:lang w:val="en-US"/>
        </w:rPr>
        <w:t>Labour</w:t>
      </w:r>
      <w:proofErr w:type="spellEnd"/>
      <w:r w:rsidRPr="00335BCA">
        <w:rPr>
          <w:sz w:val="16"/>
          <w:szCs w:val="16"/>
          <w:lang w:val="en-US"/>
        </w:rPr>
        <w:t xml:space="preserve"> Force Survey 2017, Kosovo Agency of Statistics, </w:t>
      </w:r>
      <w:hyperlink r:id="rId3" w:history="1">
        <w:r w:rsidRPr="00335BCA">
          <w:rPr>
            <w:rStyle w:val="Hyperlink"/>
            <w:sz w:val="16"/>
            <w:szCs w:val="16"/>
            <w:lang w:val="en-US"/>
          </w:rPr>
          <w:t>http://ask.rks-gov.net/media/3989/labour-force-survey-2017.pdf</w:t>
        </w:r>
      </w:hyperlink>
    </w:p>
  </w:footnote>
  <w:footnote w:id="12">
    <w:p w14:paraId="4870AE45" w14:textId="77777777" w:rsidR="009F74EB" w:rsidRPr="00B77A9D" w:rsidRDefault="009F74EB" w:rsidP="00196840">
      <w:pPr>
        <w:pStyle w:val="FootnoteText"/>
        <w:rPr>
          <w:lang w:val="en-US"/>
        </w:rPr>
      </w:pPr>
      <w:r w:rsidRPr="00ED726F">
        <w:rPr>
          <w:rStyle w:val="FootnoteReference"/>
        </w:rPr>
        <w:footnoteRef/>
      </w:r>
      <w:r w:rsidRPr="00ED726F">
        <w:t xml:space="preserve"> </w:t>
      </w:r>
      <w:r w:rsidRPr="00335BCA">
        <w:rPr>
          <w:sz w:val="16"/>
        </w:rPr>
        <w:t>Public</w:t>
      </w:r>
      <w:r w:rsidRPr="00335BCA">
        <w:rPr>
          <w:sz w:val="12"/>
          <w:szCs w:val="16"/>
        </w:rPr>
        <w:t xml:space="preserve"> </w:t>
      </w:r>
      <w:r w:rsidRPr="00335BCA">
        <w:rPr>
          <w:sz w:val="16"/>
          <w:szCs w:val="16"/>
        </w:rPr>
        <w:t xml:space="preserve">Pulse: Challenges and Perspectives of Youth in Kosovo, UNDP, August 2018, </w:t>
      </w:r>
      <w:hyperlink r:id="rId4" w:history="1">
        <w:r w:rsidRPr="00335BCA">
          <w:rPr>
            <w:rStyle w:val="Hyperlink"/>
            <w:sz w:val="16"/>
            <w:szCs w:val="16"/>
          </w:rPr>
          <w:t>http://www.ks.undp.org/content/kosovo/en/home/library/democratic_governance/public-pulse-analysis.html</w:t>
        </w:r>
      </w:hyperlink>
    </w:p>
  </w:footnote>
  <w:footnote w:id="13">
    <w:p w14:paraId="64599249" w14:textId="472D95AE" w:rsidR="009F74EB" w:rsidRPr="00335BCA" w:rsidRDefault="009F74EB" w:rsidP="00335BCA">
      <w:pPr>
        <w:pStyle w:val="FootnoteText"/>
        <w:jc w:val="both"/>
        <w:rPr>
          <w:sz w:val="16"/>
          <w:szCs w:val="16"/>
          <w:lang w:val="cs-CZ"/>
        </w:rPr>
      </w:pPr>
      <w:r w:rsidRPr="00ED726F">
        <w:rPr>
          <w:rStyle w:val="FootnoteReference"/>
        </w:rPr>
        <w:footnoteRef/>
      </w:r>
      <w:r w:rsidRPr="00335BCA">
        <w:rPr>
          <w:sz w:val="16"/>
          <w:szCs w:val="16"/>
        </w:rPr>
        <w:t xml:space="preserve"> In his report to the Security Council dated 1 November 2018 (S/2018/981), the Secretary General welcomed this UN inter-agency initiative, and encouraged continuous support for intercommunity trust-building efforts in Kosovo. </w:t>
      </w:r>
    </w:p>
  </w:footnote>
  <w:footnote w:id="14">
    <w:p w14:paraId="75BC14E4" w14:textId="77777777" w:rsidR="009F74EB" w:rsidRPr="00ED726F" w:rsidRDefault="009F74EB" w:rsidP="00FC48F9">
      <w:pPr>
        <w:pStyle w:val="FootnoteText"/>
      </w:pPr>
      <w:r w:rsidRPr="00ED726F">
        <w:rPr>
          <w:rStyle w:val="FootnoteReference"/>
        </w:rPr>
        <w:footnoteRef/>
      </w:r>
      <w:r w:rsidRPr="00ED726F">
        <w:t xml:space="preserve"> </w:t>
      </w:r>
      <w:r w:rsidRPr="00BA70F2">
        <w:rPr>
          <w:sz w:val="16"/>
        </w:rPr>
        <w:t>The full report of the 1</w:t>
      </w:r>
      <w:r w:rsidRPr="00BA70F2">
        <w:rPr>
          <w:sz w:val="16"/>
          <w:vertAlign w:val="superscript"/>
        </w:rPr>
        <w:t>st</w:t>
      </w:r>
      <w:r w:rsidRPr="00BA70F2">
        <w:rPr>
          <w:sz w:val="16"/>
        </w:rPr>
        <w:t xml:space="preserve"> UN Youth Assembly in Kosovo was published by the UNHQ Working Group as a Kosovo Consultation of the UN SG Progress Study on Youth, Peace and Security in October 2017 and is available at: </w:t>
      </w:r>
      <w:hyperlink r:id="rId5" w:history="1">
        <w:r w:rsidRPr="00BA70F2">
          <w:rPr>
            <w:rStyle w:val="Hyperlink"/>
            <w:sz w:val="16"/>
          </w:rPr>
          <w:t>https://www.youth4peace.info/ProgressStudy/NationalConsultations</w:t>
        </w:r>
      </w:hyperlink>
    </w:p>
  </w:footnote>
  <w:footnote w:id="15">
    <w:p w14:paraId="4192401E" w14:textId="30E1E8C8" w:rsidR="009F74EB" w:rsidRPr="00F854C6" w:rsidRDefault="009F74EB">
      <w:pPr>
        <w:pStyle w:val="FootnoteText"/>
        <w:rPr>
          <w:lang w:val="en-US"/>
        </w:rPr>
      </w:pPr>
      <w:r w:rsidRPr="00ED726F">
        <w:rPr>
          <w:rStyle w:val="FootnoteReference"/>
        </w:rPr>
        <w:footnoteRef/>
      </w:r>
      <w:r w:rsidRPr="00ED726F">
        <w:t xml:space="preserve"> </w:t>
      </w:r>
      <w:r w:rsidRPr="00335BCA">
        <w:rPr>
          <w:sz w:val="16"/>
          <w:szCs w:val="16"/>
        </w:rPr>
        <w:t>Public Pulse: Challenges and Perspectives of Youth in Kosovo, UNDP, August 2018</w:t>
      </w:r>
      <w:r>
        <w:rPr>
          <w:sz w:val="16"/>
          <w:szCs w:val="16"/>
        </w:rPr>
        <w:t xml:space="preserve">, </w:t>
      </w:r>
      <w:hyperlink r:id="rId6" w:history="1">
        <w:r w:rsidRPr="0003055B">
          <w:rPr>
            <w:rStyle w:val="Hyperlink"/>
            <w:sz w:val="16"/>
            <w:szCs w:val="16"/>
          </w:rPr>
          <w:t>http://www.ks.undp.org/content/kosovo/en/home/library/democratic_governance/public-pulse-analysis.html</w:t>
        </w:r>
      </w:hyperlink>
    </w:p>
  </w:footnote>
  <w:footnote w:id="16">
    <w:p w14:paraId="25DA6F73" w14:textId="4FC127FE" w:rsidR="009F74EB" w:rsidRPr="00ED726F" w:rsidRDefault="009F74EB" w:rsidP="00196840">
      <w:pPr>
        <w:pStyle w:val="FootnoteText"/>
        <w:rPr>
          <w:lang w:val="en-US"/>
        </w:rPr>
      </w:pPr>
      <w:r w:rsidRPr="00335BCA">
        <w:rPr>
          <w:rStyle w:val="FootnoteReference"/>
        </w:rPr>
        <w:footnoteRef/>
      </w:r>
      <w:r w:rsidRPr="00ED726F">
        <w:t xml:space="preserve"> </w:t>
      </w:r>
      <w:r w:rsidRPr="00335BCA">
        <w:rPr>
          <w:sz w:val="16"/>
          <w:szCs w:val="16"/>
        </w:rPr>
        <w:t>Public Pulse: Challenges and Perspectives of Youth in Kosovo, UNDP, August 2018</w:t>
      </w:r>
      <w:r>
        <w:rPr>
          <w:sz w:val="16"/>
          <w:szCs w:val="16"/>
        </w:rPr>
        <w:t xml:space="preserve">, </w:t>
      </w:r>
      <w:hyperlink r:id="rId7" w:history="1">
        <w:r w:rsidRPr="0027701C">
          <w:rPr>
            <w:rStyle w:val="Hyperlink"/>
            <w:sz w:val="16"/>
            <w:szCs w:val="16"/>
          </w:rPr>
          <w:t>http://www.ks.undp.org/content/kosovo/en/home/library/democratic_governance/public-pulse-analysis.html</w:t>
        </w:r>
      </w:hyperlink>
    </w:p>
  </w:footnote>
  <w:footnote w:id="17">
    <w:p w14:paraId="2A1B9866" w14:textId="24100762" w:rsidR="009F74EB" w:rsidRPr="00ED726F" w:rsidRDefault="009F74EB">
      <w:pPr>
        <w:pStyle w:val="FootnoteText"/>
        <w:rPr>
          <w:lang w:val="fr-FR"/>
        </w:rPr>
      </w:pPr>
      <w:r w:rsidRPr="00ED726F">
        <w:rPr>
          <w:rStyle w:val="FootnoteReference"/>
        </w:rPr>
        <w:footnoteRef/>
      </w:r>
      <w:r w:rsidRPr="00ED726F">
        <w:rPr>
          <w:lang w:val="fr-FR"/>
        </w:rPr>
        <w:t xml:space="preserve"> </w:t>
      </w:r>
      <w:r w:rsidRPr="00335BCA">
        <w:rPr>
          <w:sz w:val="16"/>
          <w:szCs w:val="16"/>
          <w:lang w:val="fr-FR"/>
        </w:rPr>
        <w:t xml:space="preserve">UNSCR 2250 (2015), </w:t>
      </w:r>
      <w:hyperlink r:id="rId8" w:history="1">
        <w:r w:rsidRPr="00335BCA">
          <w:rPr>
            <w:rStyle w:val="Hyperlink"/>
            <w:sz w:val="16"/>
            <w:szCs w:val="16"/>
            <w:lang w:val="fr-FR"/>
          </w:rPr>
          <w:t>https://undocs.org/S/RES/2250(2015)</w:t>
        </w:r>
      </w:hyperlink>
      <w:r w:rsidRPr="00335BCA">
        <w:rPr>
          <w:sz w:val="16"/>
          <w:szCs w:val="16"/>
          <w:lang w:val="fr-FR"/>
        </w:rPr>
        <w:t xml:space="preserve">  </w:t>
      </w:r>
    </w:p>
  </w:footnote>
  <w:footnote w:id="18">
    <w:p w14:paraId="4E252C3E" w14:textId="34BAA87F" w:rsidR="009F74EB" w:rsidRPr="00335BCA" w:rsidRDefault="009F74EB" w:rsidP="000B685C">
      <w:pPr>
        <w:pStyle w:val="FootnoteText"/>
        <w:rPr>
          <w:sz w:val="16"/>
          <w:szCs w:val="16"/>
          <w:lang w:val="en-US"/>
        </w:rPr>
      </w:pPr>
      <w:r w:rsidRPr="00335BCA">
        <w:rPr>
          <w:rStyle w:val="FootnoteReference"/>
        </w:rPr>
        <w:footnoteRef/>
      </w:r>
      <w:r w:rsidRPr="00335BCA">
        <w:rPr>
          <w:sz w:val="16"/>
          <w:szCs w:val="16"/>
        </w:rPr>
        <w:t xml:space="preserve"> </w:t>
      </w:r>
      <w:r w:rsidRPr="00335BCA">
        <w:rPr>
          <w:sz w:val="16"/>
          <w:szCs w:val="16"/>
          <w:lang w:val="en-US"/>
        </w:rPr>
        <w:t xml:space="preserve">Youth 2030: The United Nations Youth Strategy (2018); </w:t>
      </w:r>
      <w:hyperlink r:id="rId9" w:history="1">
        <w:r w:rsidRPr="00335BCA">
          <w:rPr>
            <w:rStyle w:val="Hyperlink"/>
            <w:sz w:val="16"/>
            <w:szCs w:val="16"/>
            <w:lang w:val="en-US"/>
          </w:rPr>
          <w:t xml:space="preserve">https://www.un.org/sustainabledevelopment/wp-cont </w:t>
        </w:r>
        <w:proofErr w:type="spellStart"/>
        <w:r w:rsidRPr="00335BCA">
          <w:rPr>
            <w:rStyle w:val="Hyperlink"/>
            <w:sz w:val="16"/>
            <w:szCs w:val="16"/>
            <w:lang w:val="en-US"/>
          </w:rPr>
          <w:t>ent</w:t>
        </w:r>
        <w:proofErr w:type="spellEnd"/>
        <w:r w:rsidRPr="00335BCA">
          <w:rPr>
            <w:rStyle w:val="Hyperlink"/>
            <w:sz w:val="16"/>
            <w:szCs w:val="16"/>
            <w:lang w:val="en-US"/>
          </w:rPr>
          <w:t>/uploads/2018/09/18-00080_UN-Youth-Strategy_Web.pdf</w:t>
        </w:r>
      </w:hyperlink>
      <w:r w:rsidRPr="00335BCA">
        <w:rPr>
          <w:sz w:val="16"/>
          <w:szCs w:val="16"/>
          <w:lang w:val="en-US"/>
        </w:rPr>
        <w:t xml:space="preserve"> </w:t>
      </w:r>
    </w:p>
  </w:footnote>
  <w:footnote w:id="19">
    <w:p w14:paraId="031F1E1E" w14:textId="77777777" w:rsidR="009F74EB" w:rsidRPr="00CB4ECE" w:rsidRDefault="009F74EB" w:rsidP="000B685C">
      <w:pPr>
        <w:pStyle w:val="FootnoteText"/>
        <w:rPr>
          <w:rFonts w:asciiTheme="minorHAnsi" w:hAnsiTheme="minorHAnsi" w:cstheme="minorHAnsi"/>
          <w:sz w:val="16"/>
          <w:szCs w:val="16"/>
          <w:lang w:val="en-US"/>
        </w:rPr>
      </w:pPr>
      <w:r w:rsidRPr="00335BCA">
        <w:rPr>
          <w:rStyle w:val="FootnoteReference"/>
        </w:rPr>
        <w:footnoteRef/>
      </w:r>
      <w:r w:rsidRPr="00335BCA">
        <w:rPr>
          <w:sz w:val="16"/>
          <w:szCs w:val="16"/>
        </w:rPr>
        <w:t xml:space="preserve"> United Nations Kosovo Trust-Building Forum (Ljubljana May 6-8, 2018); Final Report, UNMIK, </w:t>
      </w:r>
      <w:hyperlink r:id="rId10" w:history="1">
        <w:r w:rsidRPr="00335BCA">
          <w:rPr>
            <w:rStyle w:val="Hyperlink"/>
            <w:sz w:val="16"/>
            <w:szCs w:val="16"/>
          </w:rPr>
          <w:t>https://unmik.unmissions.org/united-nations-kosovo-trust-building-forum-ljubljana-may-6-8-2018-final-report</w:t>
        </w:r>
      </w:hyperlink>
      <w:r w:rsidRPr="00CB4ECE">
        <w:rPr>
          <w:rFonts w:asciiTheme="minorHAnsi" w:hAnsiTheme="minorHAnsi" w:cstheme="minorHAnsi"/>
          <w:sz w:val="16"/>
          <w:szCs w:val="16"/>
        </w:rPr>
        <w:t xml:space="preserve"> </w:t>
      </w:r>
    </w:p>
  </w:footnote>
  <w:footnote w:id="20">
    <w:p w14:paraId="5374E554" w14:textId="77777777" w:rsidR="009F74EB" w:rsidRPr="00E6582A" w:rsidRDefault="009F74EB" w:rsidP="00973AE1">
      <w:pPr>
        <w:pStyle w:val="FootnoteText"/>
        <w:rPr>
          <w:lang w:val="en-US"/>
        </w:rPr>
      </w:pPr>
      <w:r>
        <w:rPr>
          <w:rStyle w:val="FootnoteReference"/>
        </w:rPr>
        <w:footnoteRef/>
      </w:r>
      <w:r>
        <w:t xml:space="preserve"> </w:t>
      </w:r>
      <w:r>
        <w:rPr>
          <w:lang w:val="en-US"/>
        </w:rPr>
        <w:t>Annualized PBF project budget is obtained by dividing the PBF project budget by the number of project duration months and multiplying by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F117B"/>
    <w:multiLevelType w:val="multilevel"/>
    <w:tmpl w:val="98322B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4D2236"/>
    <w:multiLevelType w:val="hybridMultilevel"/>
    <w:tmpl w:val="32C8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E49A6"/>
    <w:multiLevelType w:val="hybridMultilevel"/>
    <w:tmpl w:val="650039A0"/>
    <w:lvl w:ilvl="0" w:tplc="04090001">
      <w:start w:val="1"/>
      <w:numFmt w:val="bullet"/>
      <w:lvlText w:val=""/>
      <w:lvlJc w:val="left"/>
      <w:pPr>
        <w:tabs>
          <w:tab w:val="num" w:pos="360"/>
        </w:tabs>
        <w:ind w:left="360" w:hanging="360"/>
      </w:pPr>
      <w:rPr>
        <w:rFonts w:ascii="Symbol" w:hAnsi="Symbol" w:hint="default"/>
      </w:r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551129"/>
    <w:multiLevelType w:val="hybridMultilevel"/>
    <w:tmpl w:val="FAF2C00E"/>
    <w:lvl w:ilvl="0" w:tplc="6A9200A0">
      <w:start w:val="1"/>
      <w:numFmt w:val="bullet"/>
      <w:lvlText w:val=""/>
      <w:lvlJc w:val="left"/>
      <w:pPr>
        <w:ind w:left="720" w:hanging="360"/>
      </w:pPr>
      <w:rPr>
        <w:rFonts w:ascii="Symbol" w:hAnsi="Symbol" w:hint="default"/>
      </w:rPr>
    </w:lvl>
    <w:lvl w:ilvl="1" w:tplc="6EF4F98E">
      <w:start w:val="1"/>
      <w:numFmt w:val="bullet"/>
      <w:lvlText w:val="o"/>
      <w:lvlJc w:val="left"/>
      <w:pPr>
        <w:ind w:left="1440" w:hanging="360"/>
      </w:pPr>
      <w:rPr>
        <w:rFonts w:ascii="Courier New" w:hAnsi="Courier New" w:hint="default"/>
      </w:rPr>
    </w:lvl>
    <w:lvl w:ilvl="2" w:tplc="641AB062">
      <w:start w:val="1"/>
      <w:numFmt w:val="bullet"/>
      <w:lvlText w:val=""/>
      <w:lvlJc w:val="left"/>
      <w:pPr>
        <w:ind w:left="2160" w:hanging="360"/>
      </w:pPr>
      <w:rPr>
        <w:rFonts w:ascii="Wingdings" w:hAnsi="Wingdings" w:hint="default"/>
      </w:rPr>
    </w:lvl>
    <w:lvl w:ilvl="3" w:tplc="194259E2">
      <w:start w:val="1"/>
      <w:numFmt w:val="bullet"/>
      <w:lvlText w:val=""/>
      <w:lvlJc w:val="left"/>
      <w:pPr>
        <w:ind w:left="2880" w:hanging="360"/>
      </w:pPr>
      <w:rPr>
        <w:rFonts w:ascii="Symbol" w:hAnsi="Symbol" w:hint="default"/>
      </w:rPr>
    </w:lvl>
    <w:lvl w:ilvl="4" w:tplc="BD143E14">
      <w:start w:val="1"/>
      <w:numFmt w:val="bullet"/>
      <w:lvlText w:val="o"/>
      <w:lvlJc w:val="left"/>
      <w:pPr>
        <w:ind w:left="3600" w:hanging="360"/>
      </w:pPr>
      <w:rPr>
        <w:rFonts w:ascii="Courier New" w:hAnsi="Courier New" w:hint="default"/>
      </w:rPr>
    </w:lvl>
    <w:lvl w:ilvl="5" w:tplc="0BD8C430">
      <w:start w:val="1"/>
      <w:numFmt w:val="bullet"/>
      <w:lvlText w:val=""/>
      <w:lvlJc w:val="left"/>
      <w:pPr>
        <w:ind w:left="4320" w:hanging="360"/>
      </w:pPr>
      <w:rPr>
        <w:rFonts w:ascii="Wingdings" w:hAnsi="Wingdings" w:hint="default"/>
      </w:rPr>
    </w:lvl>
    <w:lvl w:ilvl="6" w:tplc="1B609766">
      <w:start w:val="1"/>
      <w:numFmt w:val="bullet"/>
      <w:lvlText w:val=""/>
      <w:lvlJc w:val="left"/>
      <w:pPr>
        <w:ind w:left="5040" w:hanging="360"/>
      </w:pPr>
      <w:rPr>
        <w:rFonts w:ascii="Symbol" w:hAnsi="Symbol" w:hint="default"/>
      </w:rPr>
    </w:lvl>
    <w:lvl w:ilvl="7" w:tplc="CA22EDFE">
      <w:start w:val="1"/>
      <w:numFmt w:val="bullet"/>
      <w:lvlText w:val="o"/>
      <w:lvlJc w:val="left"/>
      <w:pPr>
        <w:ind w:left="5760" w:hanging="360"/>
      </w:pPr>
      <w:rPr>
        <w:rFonts w:ascii="Courier New" w:hAnsi="Courier New" w:hint="default"/>
      </w:rPr>
    </w:lvl>
    <w:lvl w:ilvl="8" w:tplc="DEEA5308">
      <w:start w:val="1"/>
      <w:numFmt w:val="bullet"/>
      <w:lvlText w:val=""/>
      <w:lvlJc w:val="left"/>
      <w:pPr>
        <w:ind w:left="6480" w:hanging="360"/>
      </w:pPr>
      <w:rPr>
        <w:rFonts w:ascii="Wingdings" w:hAnsi="Wingdings" w:hint="default"/>
      </w:rPr>
    </w:lvl>
  </w:abstractNum>
  <w:abstractNum w:abstractNumId="4" w15:restartNumberingAfterBreak="0">
    <w:nsid w:val="2D281A9D"/>
    <w:multiLevelType w:val="hybridMultilevel"/>
    <w:tmpl w:val="79206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47C77"/>
    <w:multiLevelType w:val="hybridMultilevel"/>
    <w:tmpl w:val="24B46C34"/>
    <w:lvl w:ilvl="0" w:tplc="9CB20A08">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920DA"/>
    <w:multiLevelType w:val="hybridMultilevel"/>
    <w:tmpl w:val="2C78771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754042"/>
    <w:multiLevelType w:val="hybridMultilevel"/>
    <w:tmpl w:val="4C12CD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4D7676"/>
    <w:multiLevelType w:val="hybridMultilevel"/>
    <w:tmpl w:val="E92CC0D8"/>
    <w:lvl w:ilvl="0" w:tplc="0809000B">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55699"/>
    <w:multiLevelType w:val="multilevel"/>
    <w:tmpl w:val="D0B8B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7A12E3"/>
    <w:multiLevelType w:val="hybridMultilevel"/>
    <w:tmpl w:val="E3A24F32"/>
    <w:lvl w:ilvl="0" w:tplc="04090017">
      <w:start w:val="1"/>
      <w:numFmt w:val="lowerLetter"/>
      <w:lvlText w:val="%1)"/>
      <w:lvlJc w:val="left"/>
      <w:pPr>
        <w:tabs>
          <w:tab w:val="num" w:pos="720"/>
        </w:tabs>
        <w:ind w:left="720" w:hanging="360"/>
      </w:pPr>
      <w:rPr>
        <w:rFonts w:hint="default"/>
      </w:rPr>
    </w:lvl>
    <w:lvl w:ilvl="1" w:tplc="8F30C91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3043E5"/>
    <w:multiLevelType w:val="multilevel"/>
    <w:tmpl w:val="BC36ED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9F86652"/>
    <w:multiLevelType w:val="hybridMultilevel"/>
    <w:tmpl w:val="B60EB042"/>
    <w:lvl w:ilvl="0" w:tplc="8258E23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1199F"/>
    <w:multiLevelType w:val="hybridMultilevel"/>
    <w:tmpl w:val="4AD07598"/>
    <w:lvl w:ilvl="0" w:tplc="C5A83146">
      <w:start w:val="1"/>
      <w:numFmt w:val="bullet"/>
      <w:lvlText w:val=""/>
      <w:lvlJc w:val="left"/>
      <w:pPr>
        <w:ind w:left="720" w:hanging="360"/>
      </w:pPr>
      <w:rPr>
        <w:rFonts w:ascii="Symbol" w:hAnsi="Symbol" w:hint="default"/>
      </w:rPr>
    </w:lvl>
    <w:lvl w:ilvl="1" w:tplc="C76C36E0">
      <w:start w:val="1"/>
      <w:numFmt w:val="bullet"/>
      <w:lvlText w:val="o"/>
      <w:lvlJc w:val="left"/>
      <w:pPr>
        <w:ind w:left="1440" w:hanging="360"/>
      </w:pPr>
      <w:rPr>
        <w:rFonts w:ascii="Courier New" w:hAnsi="Courier New" w:hint="default"/>
      </w:rPr>
    </w:lvl>
    <w:lvl w:ilvl="2" w:tplc="8488BF34">
      <w:start w:val="1"/>
      <w:numFmt w:val="bullet"/>
      <w:lvlText w:val=""/>
      <w:lvlJc w:val="left"/>
      <w:pPr>
        <w:ind w:left="2160" w:hanging="360"/>
      </w:pPr>
      <w:rPr>
        <w:rFonts w:ascii="Wingdings" w:hAnsi="Wingdings" w:hint="default"/>
      </w:rPr>
    </w:lvl>
    <w:lvl w:ilvl="3" w:tplc="A69E8432">
      <w:start w:val="1"/>
      <w:numFmt w:val="bullet"/>
      <w:lvlText w:val=""/>
      <w:lvlJc w:val="left"/>
      <w:pPr>
        <w:ind w:left="2880" w:hanging="360"/>
      </w:pPr>
      <w:rPr>
        <w:rFonts w:ascii="Symbol" w:hAnsi="Symbol" w:hint="default"/>
      </w:rPr>
    </w:lvl>
    <w:lvl w:ilvl="4" w:tplc="189C9F56">
      <w:start w:val="1"/>
      <w:numFmt w:val="bullet"/>
      <w:lvlText w:val="o"/>
      <w:lvlJc w:val="left"/>
      <w:pPr>
        <w:ind w:left="3600" w:hanging="360"/>
      </w:pPr>
      <w:rPr>
        <w:rFonts w:ascii="Courier New" w:hAnsi="Courier New" w:hint="default"/>
      </w:rPr>
    </w:lvl>
    <w:lvl w:ilvl="5" w:tplc="14F41DFA">
      <w:start w:val="1"/>
      <w:numFmt w:val="bullet"/>
      <w:lvlText w:val=""/>
      <w:lvlJc w:val="left"/>
      <w:pPr>
        <w:ind w:left="4320" w:hanging="360"/>
      </w:pPr>
      <w:rPr>
        <w:rFonts w:ascii="Wingdings" w:hAnsi="Wingdings" w:hint="default"/>
      </w:rPr>
    </w:lvl>
    <w:lvl w:ilvl="6" w:tplc="3EFA89E2">
      <w:start w:val="1"/>
      <w:numFmt w:val="bullet"/>
      <w:lvlText w:val=""/>
      <w:lvlJc w:val="left"/>
      <w:pPr>
        <w:ind w:left="5040" w:hanging="360"/>
      </w:pPr>
      <w:rPr>
        <w:rFonts w:ascii="Symbol" w:hAnsi="Symbol" w:hint="default"/>
      </w:rPr>
    </w:lvl>
    <w:lvl w:ilvl="7" w:tplc="4A96D65A">
      <w:start w:val="1"/>
      <w:numFmt w:val="bullet"/>
      <w:lvlText w:val="o"/>
      <w:lvlJc w:val="left"/>
      <w:pPr>
        <w:ind w:left="5760" w:hanging="360"/>
      </w:pPr>
      <w:rPr>
        <w:rFonts w:ascii="Courier New" w:hAnsi="Courier New" w:hint="default"/>
      </w:rPr>
    </w:lvl>
    <w:lvl w:ilvl="8" w:tplc="F4A057C8">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7"/>
  </w:num>
  <w:num w:numId="5">
    <w:abstractNumId w:val="10"/>
  </w:num>
  <w:num w:numId="6">
    <w:abstractNumId w:val="5"/>
  </w:num>
  <w:num w:numId="7">
    <w:abstractNumId w:val="6"/>
  </w:num>
  <w:num w:numId="8">
    <w:abstractNumId w:val="12"/>
  </w:num>
  <w:num w:numId="9">
    <w:abstractNumId w:val="8"/>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BA"/>
    <w:rsid w:val="00000F10"/>
    <w:rsid w:val="000017C4"/>
    <w:rsid w:val="000035C4"/>
    <w:rsid w:val="00005C55"/>
    <w:rsid w:val="00005FAA"/>
    <w:rsid w:val="00010523"/>
    <w:rsid w:val="00011D7D"/>
    <w:rsid w:val="000154B3"/>
    <w:rsid w:val="000158AB"/>
    <w:rsid w:val="00015956"/>
    <w:rsid w:val="00015E2E"/>
    <w:rsid w:val="00020FBE"/>
    <w:rsid w:val="000222A6"/>
    <w:rsid w:val="00022849"/>
    <w:rsid w:val="000245B9"/>
    <w:rsid w:val="00026461"/>
    <w:rsid w:val="00026500"/>
    <w:rsid w:val="000301A5"/>
    <w:rsid w:val="000341C6"/>
    <w:rsid w:val="00035E0A"/>
    <w:rsid w:val="00040A7B"/>
    <w:rsid w:val="0004262E"/>
    <w:rsid w:val="00042982"/>
    <w:rsid w:val="00043461"/>
    <w:rsid w:val="000454E3"/>
    <w:rsid w:val="000455D2"/>
    <w:rsid w:val="00046D6B"/>
    <w:rsid w:val="000526E9"/>
    <w:rsid w:val="0005327B"/>
    <w:rsid w:val="0005448E"/>
    <w:rsid w:val="00054CC5"/>
    <w:rsid w:val="00055AE8"/>
    <w:rsid w:val="0005701C"/>
    <w:rsid w:val="000574AC"/>
    <w:rsid w:val="0006157D"/>
    <w:rsid w:val="000620B0"/>
    <w:rsid w:val="00070780"/>
    <w:rsid w:val="00071218"/>
    <w:rsid w:val="0007265B"/>
    <w:rsid w:val="00072D98"/>
    <w:rsid w:val="00074BCD"/>
    <w:rsid w:val="00080FB1"/>
    <w:rsid w:val="00083802"/>
    <w:rsid w:val="00091863"/>
    <w:rsid w:val="000946EB"/>
    <w:rsid w:val="00096E5D"/>
    <w:rsid w:val="00097CC6"/>
    <w:rsid w:val="000A293D"/>
    <w:rsid w:val="000A2F86"/>
    <w:rsid w:val="000A66E5"/>
    <w:rsid w:val="000A6845"/>
    <w:rsid w:val="000A6946"/>
    <w:rsid w:val="000A7F33"/>
    <w:rsid w:val="000B0A93"/>
    <w:rsid w:val="000B1D38"/>
    <w:rsid w:val="000B36A4"/>
    <w:rsid w:val="000B60C2"/>
    <w:rsid w:val="000B685C"/>
    <w:rsid w:val="000B6DA5"/>
    <w:rsid w:val="000C1C42"/>
    <w:rsid w:val="000C2135"/>
    <w:rsid w:val="000C2F3B"/>
    <w:rsid w:val="000C68D7"/>
    <w:rsid w:val="000C69C5"/>
    <w:rsid w:val="000C6C1B"/>
    <w:rsid w:val="000C6D64"/>
    <w:rsid w:val="000C6FB9"/>
    <w:rsid w:val="000D02A3"/>
    <w:rsid w:val="000D051B"/>
    <w:rsid w:val="000D4666"/>
    <w:rsid w:val="000E0F14"/>
    <w:rsid w:val="000E4C8A"/>
    <w:rsid w:val="000E5C23"/>
    <w:rsid w:val="000E7B43"/>
    <w:rsid w:val="000F134F"/>
    <w:rsid w:val="000F2AE1"/>
    <w:rsid w:val="000F3936"/>
    <w:rsid w:val="000F3D09"/>
    <w:rsid w:val="000F510B"/>
    <w:rsid w:val="00102CE7"/>
    <w:rsid w:val="0010336D"/>
    <w:rsid w:val="001046CF"/>
    <w:rsid w:val="00106563"/>
    <w:rsid w:val="00110390"/>
    <w:rsid w:val="001105BE"/>
    <w:rsid w:val="0011225B"/>
    <w:rsid w:val="00112A59"/>
    <w:rsid w:val="00113054"/>
    <w:rsid w:val="00113AFB"/>
    <w:rsid w:val="00114D54"/>
    <w:rsid w:val="00116D19"/>
    <w:rsid w:val="00117E6B"/>
    <w:rsid w:val="00121C9A"/>
    <w:rsid w:val="00124363"/>
    <w:rsid w:val="00125EF2"/>
    <w:rsid w:val="00130586"/>
    <w:rsid w:val="001313C1"/>
    <w:rsid w:val="001334D8"/>
    <w:rsid w:val="0013366B"/>
    <w:rsid w:val="00133F22"/>
    <w:rsid w:val="0014241C"/>
    <w:rsid w:val="001455BB"/>
    <w:rsid w:val="00147035"/>
    <w:rsid w:val="0015121C"/>
    <w:rsid w:val="00151E19"/>
    <w:rsid w:val="001531DC"/>
    <w:rsid w:val="00153B46"/>
    <w:rsid w:val="00154301"/>
    <w:rsid w:val="00154E51"/>
    <w:rsid w:val="00157AD8"/>
    <w:rsid w:val="00157BE4"/>
    <w:rsid w:val="00161094"/>
    <w:rsid w:val="00162FDB"/>
    <w:rsid w:val="00166356"/>
    <w:rsid w:val="001713A7"/>
    <w:rsid w:val="00173A66"/>
    <w:rsid w:val="00175373"/>
    <w:rsid w:val="00175FDB"/>
    <w:rsid w:val="00177CE1"/>
    <w:rsid w:val="00180747"/>
    <w:rsid w:val="0018142D"/>
    <w:rsid w:val="00181EF4"/>
    <w:rsid w:val="001825CD"/>
    <w:rsid w:val="00183E02"/>
    <w:rsid w:val="00183E8D"/>
    <w:rsid w:val="0018418D"/>
    <w:rsid w:val="0018497B"/>
    <w:rsid w:val="00185B5A"/>
    <w:rsid w:val="00187D11"/>
    <w:rsid w:val="00190DDF"/>
    <w:rsid w:val="00190EF6"/>
    <w:rsid w:val="001950D5"/>
    <w:rsid w:val="00195A4A"/>
    <w:rsid w:val="00196840"/>
    <w:rsid w:val="00196DDA"/>
    <w:rsid w:val="001A5E0E"/>
    <w:rsid w:val="001A5F45"/>
    <w:rsid w:val="001A7841"/>
    <w:rsid w:val="001A7C0E"/>
    <w:rsid w:val="001B2FD8"/>
    <w:rsid w:val="001B3A37"/>
    <w:rsid w:val="001B3EB0"/>
    <w:rsid w:val="001B459B"/>
    <w:rsid w:val="001B47DD"/>
    <w:rsid w:val="001B5321"/>
    <w:rsid w:val="001B60E8"/>
    <w:rsid w:val="001B62EE"/>
    <w:rsid w:val="001B6EE8"/>
    <w:rsid w:val="001C3348"/>
    <w:rsid w:val="001C47DA"/>
    <w:rsid w:val="001C7AE8"/>
    <w:rsid w:val="001C7CAB"/>
    <w:rsid w:val="001D5EA0"/>
    <w:rsid w:val="001E0ECE"/>
    <w:rsid w:val="001E15DA"/>
    <w:rsid w:val="001E221F"/>
    <w:rsid w:val="001E62AD"/>
    <w:rsid w:val="001F0572"/>
    <w:rsid w:val="001F1AEE"/>
    <w:rsid w:val="001F2BCE"/>
    <w:rsid w:val="001F4194"/>
    <w:rsid w:val="001F44EE"/>
    <w:rsid w:val="001F5AAB"/>
    <w:rsid w:val="001F6925"/>
    <w:rsid w:val="00200667"/>
    <w:rsid w:val="00201843"/>
    <w:rsid w:val="0020209A"/>
    <w:rsid w:val="00204FF6"/>
    <w:rsid w:val="0020531F"/>
    <w:rsid w:val="00207520"/>
    <w:rsid w:val="002136B7"/>
    <w:rsid w:val="002149F7"/>
    <w:rsid w:val="002201C5"/>
    <w:rsid w:val="00222FAF"/>
    <w:rsid w:val="00226E48"/>
    <w:rsid w:val="00232681"/>
    <w:rsid w:val="00232BE2"/>
    <w:rsid w:val="0023301C"/>
    <w:rsid w:val="0023344A"/>
    <w:rsid w:val="00244CCC"/>
    <w:rsid w:val="0024646D"/>
    <w:rsid w:val="00250269"/>
    <w:rsid w:val="00252F97"/>
    <w:rsid w:val="002560F0"/>
    <w:rsid w:val="00256683"/>
    <w:rsid w:val="00257939"/>
    <w:rsid w:val="002623E1"/>
    <w:rsid w:val="00262AC6"/>
    <w:rsid w:val="0026606A"/>
    <w:rsid w:val="0026607C"/>
    <w:rsid w:val="00271537"/>
    <w:rsid w:val="0027272E"/>
    <w:rsid w:val="00281CB3"/>
    <w:rsid w:val="00281EB2"/>
    <w:rsid w:val="00282DC4"/>
    <w:rsid w:val="002936C6"/>
    <w:rsid w:val="00294B5E"/>
    <w:rsid w:val="002A1BD2"/>
    <w:rsid w:val="002A223C"/>
    <w:rsid w:val="002A40A8"/>
    <w:rsid w:val="002A4F41"/>
    <w:rsid w:val="002A7902"/>
    <w:rsid w:val="002B0E38"/>
    <w:rsid w:val="002B3B42"/>
    <w:rsid w:val="002B41C1"/>
    <w:rsid w:val="002C60FC"/>
    <w:rsid w:val="002D1EC1"/>
    <w:rsid w:val="002D316E"/>
    <w:rsid w:val="002D4044"/>
    <w:rsid w:val="002D4060"/>
    <w:rsid w:val="002D43D5"/>
    <w:rsid w:val="002D5123"/>
    <w:rsid w:val="002E37C5"/>
    <w:rsid w:val="002E482A"/>
    <w:rsid w:val="002E770B"/>
    <w:rsid w:val="002E7D24"/>
    <w:rsid w:val="002F1F61"/>
    <w:rsid w:val="002F3E14"/>
    <w:rsid w:val="002F4336"/>
    <w:rsid w:val="002F4D0A"/>
    <w:rsid w:val="002F6298"/>
    <w:rsid w:val="002F6F31"/>
    <w:rsid w:val="002F7D82"/>
    <w:rsid w:val="00303D19"/>
    <w:rsid w:val="003049F8"/>
    <w:rsid w:val="003051A2"/>
    <w:rsid w:val="00305D3E"/>
    <w:rsid w:val="003060D3"/>
    <w:rsid w:val="00312250"/>
    <w:rsid w:val="00316C39"/>
    <w:rsid w:val="00317762"/>
    <w:rsid w:val="0032248B"/>
    <w:rsid w:val="003260C2"/>
    <w:rsid w:val="0032770C"/>
    <w:rsid w:val="003325EC"/>
    <w:rsid w:val="0033477F"/>
    <w:rsid w:val="0033583B"/>
    <w:rsid w:val="00335BCA"/>
    <w:rsid w:val="00336C65"/>
    <w:rsid w:val="0033776C"/>
    <w:rsid w:val="00341C66"/>
    <w:rsid w:val="00341EBC"/>
    <w:rsid w:val="0034292F"/>
    <w:rsid w:val="003433DB"/>
    <w:rsid w:val="00343480"/>
    <w:rsid w:val="003446EF"/>
    <w:rsid w:val="00344F98"/>
    <w:rsid w:val="00347054"/>
    <w:rsid w:val="00351692"/>
    <w:rsid w:val="00352800"/>
    <w:rsid w:val="00353B8E"/>
    <w:rsid w:val="00354337"/>
    <w:rsid w:val="00361906"/>
    <w:rsid w:val="00361BCD"/>
    <w:rsid w:val="0036377D"/>
    <w:rsid w:val="00365721"/>
    <w:rsid w:val="00365EE9"/>
    <w:rsid w:val="003669B7"/>
    <w:rsid w:val="00367C1A"/>
    <w:rsid w:val="00371347"/>
    <w:rsid w:val="00372135"/>
    <w:rsid w:val="00372A79"/>
    <w:rsid w:val="00373437"/>
    <w:rsid w:val="00376819"/>
    <w:rsid w:val="00380322"/>
    <w:rsid w:val="00383763"/>
    <w:rsid w:val="00383B86"/>
    <w:rsid w:val="00383D79"/>
    <w:rsid w:val="00385DD5"/>
    <w:rsid w:val="00386B40"/>
    <w:rsid w:val="00392B10"/>
    <w:rsid w:val="00392E87"/>
    <w:rsid w:val="00393508"/>
    <w:rsid w:val="00394584"/>
    <w:rsid w:val="003948DD"/>
    <w:rsid w:val="00396434"/>
    <w:rsid w:val="00396A65"/>
    <w:rsid w:val="003A0183"/>
    <w:rsid w:val="003A0256"/>
    <w:rsid w:val="003A29E0"/>
    <w:rsid w:val="003A2B6C"/>
    <w:rsid w:val="003A3C05"/>
    <w:rsid w:val="003A7856"/>
    <w:rsid w:val="003A7EBE"/>
    <w:rsid w:val="003B1484"/>
    <w:rsid w:val="003B4975"/>
    <w:rsid w:val="003B7AEB"/>
    <w:rsid w:val="003C067A"/>
    <w:rsid w:val="003C06C5"/>
    <w:rsid w:val="003C29AA"/>
    <w:rsid w:val="003C2EB0"/>
    <w:rsid w:val="003C387A"/>
    <w:rsid w:val="003C6F87"/>
    <w:rsid w:val="003D062D"/>
    <w:rsid w:val="003D13C1"/>
    <w:rsid w:val="003D1B1A"/>
    <w:rsid w:val="003D234B"/>
    <w:rsid w:val="003D3621"/>
    <w:rsid w:val="003D5AAC"/>
    <w:rsid w:val="003E0317"/>
    <w:rsid w:val="003E1400"/>
    <w:rsid w:val="003E1F1D"/>
    <w:rsid w:val="003E25AC"/>
    <w:rsid w:val="003E54A7"/>
    <w:rsid w:val="003E6B3A"/>
    <w:rsid w:val="003F0A89"/>
    <w:rsid w:val="003F3340"/>
    <w:rsid w:val="003F3D2D"/>
    <w:rsid w:val="003F43AB"/>
    <w:rsid w:val="003F43F4"/>
    <w:rsid w:val="003F7786"/>
    <w:rsid w:val="004003FC"/>
    <w:rsid w:val="004025FB"/>
    <w:rsid w:val="00405123"/>
    <w:rsid w:val="00416E90"/>
    <w:rsid w:val="00420DF8"/>
    <w:rsid w:val="00420E30"/>
    <w:rsid w:val="00422DA4"/>
    <w:rsid w:val="00422FF3"/>
    <w:rsid w:val="00427F6F"/>
    <w:rsid w:val="004317F4"/>
    <w:rsid w:val="00431D36"/>
    <w:rsid w:val="00434930"/>
    <w:rsid w:val="00436422"/>
    <w:rsid w:val="00437EB2"/>
    <w:rsid w:val="004405A0"/>
    <w:rsid w:val="00440EDD"/>
    <w:rsid w:val="004414FE"/>
    <w:rsid w:val="00441A83"/>
    <w:rsid w:val="00441BAF"/>
    <w:rsid w:val="0044358C"/>
    <w:rsid w:val="00443C67"/>
    <w:rsid w:val="00445359"/>
    <w:rsid w:val="004466FD"/>
    <w:rsid w:val="00446DFD"/>
    <w:rsid w:val="004470EF"/>
    <w:rsid w:val="004500D0"/>
    <w:rsid w:val="00450C15"/>
    <w:rsid w:val="00452FA2"/>
    <w:rsid w:val="004532D1"/>
    <w:rsid w:val="00455209"/>
    <w:rsid w:val="00462E73"/>
    <w:rsid w:val="00463A25"/>
    <w:rsid w:val="00465FDD"/>
    <w:rsid w:val="00466912"/>
    <w:rsid w:val="004676A5"/>
    <w:rsid w:val="004710D5"/>
    <w:rsid w:val="0047285D"/>
    <w:rsid w:val="00473D27"/>
    <w:rsid w:val="004763C1"/>
    <w:rsid w:val="0047649C"/>
    <w:rsid w:val="004764B1"/>
    <w:rsid w:val="00477658"/>
    <w:rsid w:val="004779FE"/>
    <w:rsid w:val="00480024"/>
    <w:rsid w:val="004813CA"/>
    <w:rsid w:val="0048568F"/>
    <w:rsid w:val="0048618E"/>
    <w:rsid w:val="00492806"/>
    <w:rsid w:val="004933DE"/>
    <w:rsid w:val="004955DC"/>
    <w:rsid w:val="00495960"/>
    <w:rsid w:val="0049755E"/>
    <w:rsid w:val="00497581"/>
    <w:rsid w:val="004A102A"/>
    <w:rsid w:val="004A138B"/>
    <w:rsid w:val="004A1D91"/>
    <w:rsid w:val="004A267C"/>
    <w:rsid w:val="004A33D0"/>
    <w:rsid w:val="004A3822"/>
    <w:rsid w:val="004A4C8C"/>
    <w:rsid w:val="004A55B7"/>
    <w:rsid w:val="004A78C9"/>
    <w:rsid w:val="004B06B9"/>
    <w:rsid w:val="004B41E8"/>
    <w:rsid w:val="004B6360"/>
    <w:rsid w:val="004B7ABD"/>
    <w:rsid w:val="004C1878"/>
    <w:rsid w:val="004C3C68"/>
    <w:rsid w:val="004C49D4"/>
    <w:rsid w:val="004D4138"/>
    <w:rsid w:val="004D4ADB"/>
    <w:rsid w:val="004D573F"/>
    <w:rsid w:val="004D5B3D"/>
    <w:rsid w:val="004D662A"/>
    <w:rsid w:val="004E1648"/>
    <w:rsid w:val="004E5FA5"/>
    <w:rsid w:val="004E658B"/>
    <w:rsid w:val="004E6662"/>
    <w:rsid w:val="004F04A8"/>
    <w:rsid w:val="004F164B"/>
    <w:rsid w:val="004F44C8"/>
    <w:rsid w:val="004F58BB"/>
    <w:rsid w:val="004F7C3E"/>
    <w:rsid w:val="00500108"/>
    <w:rsid w:val="00500922"/>
    <w:rsid w:val="00502AEA"/>
    <w:rsid w:val="005032A5"/>
    <w:rsid w:val="005147A2"/>
    <w:rsid w:val="005152E8"/>
    <w:rsid w:val="00520473"/>
    <w:rsid w:val="005209CC"/>
    <w:rsid w:val="00521AF1"/>
    <w:rsid w:val="00524A0F"/>
    <w:rsid w:val="00524B1D"/>
    <w:rsid w:val="00530CEE"/>
    <w:rsid w:val="00531B34"/>
    <w:rsid w:val="0053692D"/>
    <w:rsid w:val="00537E94"/>
    <w:rsid w:val="0054289B"/>
    <w:rsid w:val="00543542"/>
    <w:rsid w:val="005453BA"/>
    <w:rsid w:val="00545DD9"/>
    <w:rsid w:val="00551920"/>
    <w:rsid w:val="00554325"/>
    <w:rsid w:val="00556CD6"/>
    <w:rsid w:val="00557B99"/>
    <w:rsid w:val="005606D3"/>
    <w:rsid w:val="005613FB"/>
    <w:rsid w:val="005618A3"/>
    <w:rsid w:val="00562809"/>
    <w:rsid w:val="0056520D"/>
    <w:rsid w:val="0056650A"/>
    <w:rsid w:val="00570F35"/>
    <w:rsid w:val="005751C6"/>
    <w:rsid w:val="00576D79"/>
    <w:rsid w:val="005779AA"/>
    <w:rsid w:val="00580CFE"/>
    <w:rsid w:val="00582B0A"/>
    <w:rsid w:val="00583086"/>
    <w:rsid w:val="00584237"/>
    <w:rsid w:val="005857E4"/>
    <w:rsid w:val="005869DE"/>
    <w:rsid w:val="005873E0"/>
    <w:rsid w:val="00587D8C"/>
    <w:rsid w:val="005908BF"/>
    <w:rsid w:val="00590F93"/>
    <w:rsid w:val="00592C8D"/>
    <w:rsid w:val="00594AAC"/>
    <w:rsid w:val="005961C9"/>
    <w:rsid w:val="005962A8"/>
    <w:rsid w:val="00597AF5"/>
    <w:rsid w:val="005A0217"/>
    <w:rsid w:val="005A33C8"/>
    <w:rsid w:val="005A40C6"/>
    <w:rsid w:val="005A4F25"/>
    <w:rsid w:val="005A5C32"/>
    <w:rsid w:val="005A6202"/>
    <w:rsid w:val="005A7497"/>
    <w:rsid w:val="005B0DD6"/>
    <w:rsid w:val="005B0F15"/>
    <w:rsid w:val="005B14DC"/>
    <w:rsid w:val="005B1B11"/>
    <w:rsid w:val="005B1CB0"/>
    <w:rsid w:val="005B2E5B"/>
    <w:rsid w:val="005B3646"/>
    <w:rsid w:val="005B585B"/>
    <w:rsid w:val="005C1649"/>
    <w:rsid w:val="005C2D3A"/>
    <w:rsid w:val="005C2D84"/>
    <w:rsid w:val="005C2DA8"/>
    <w:rsid w:val="005C68C5"/>
    <w:rsid w:val="005C6B88"/>
    <w:rsid w:val="005C6F37"/>
    <w:rsid w:val="005D0A3B"/>
    <w:rsid w:val="005D2249"/>
    <w:rsid w:val="005D6280"/>
    <w:rsid w:val="005E1667"/>
    <w:rsid w:val="005E17D6"/>
    <w:rsid w:val="005E1AFC"/>
    <w:rsid w:val="005E245E"/>
    <w:rsid w:val="005E2CBE"/>
    <w:rsid w:val="005E3F98"/>
    <w:rsid w:val="005E4D5B"/>
    <w:rsid w:val="005E59A5"/>
    <w:rsid w:val="005E6875"/>
    <w:rsid w:val="005F03AF"/>
    <w:rsid w:val="005F0C38"/>
    <w:rsid w:val="005F246F"/>
    <w:rsid w:val="005F2697"/>
    <w:rsid w:val="005F2718"/>
    <w:rsid w:val="005F4B15"/>
    <w:rsid w:val="005F7B99"/>
    <w:rsid w:val="0060118A"/>
    <w:rsid w:val="006025E7"/>
    <w:rsid w:val="00603D48"/>
    <w:rsid w:val="00605224"/>
    <w:rsid w:val="0060528E"/>
    <w:rsid w:val="006052A5"/>
    <w:rsid w:val="006078E5"/>
    <w:rsid w:val="0061078F"/>
    <w:rsid w:val="00610F8C"/>
    <w:rsid w:val="00612DA9"/>
    <w:rsid w:val="00613091"/>
    <w:rsid w:val="00614939"/>
    <w:rsid w:val="00615393"/>
    <w:rsid w:val="00617DE5"/>
    <w:rsid w:val="00620696"/>
    <w:rsid w:val="00621725"/>
    <w:rsid w:val="00621DCA"/>
    <w:rsid w:val="0062651D"/>
    <w:rsid w:val="00626CAF"/>
    <w:rsid w:val="00631578"/>
    <w:rsid w:val="00631B61"/>
    <w:rsid w:val="0063372E"/>
    <w:rsid w:val="00634187"/>
    <w:rsid w:val="00634B02"/>
    <w:rsid w:val="006379CF"/>
    <w:rsid w:val="00640556"/>
    <w:rsid w:val="0064272F"/>
    <w:rsid w:val="00650401"/>
    <w:rsid w:val="00651B28"/>
    <w:rsid w:val="00654246"/>
    <w:rsid w:val="0065642D"/>
    <w:rsid w:val="006571C3"/>
    <w:rsid w:val="006600DB"/>
    <w:rsid w:val="006629A5"/>
    <w:rsid w:val="00664FF1"/>
    <w:rsid w:val="00665F95"/>
    <w:rsid w:val="006665B0"/>
    <w:rsid w:val="00672493"/>
    <w:rsid w:val="006737FA"/>
    <w:rsid w:val="00673A7C"/>
    <w:rsid w:val="00673B55"/>
    <w:rsid w:val="006748BC"/>
    <w:rsid w:val="00677698"/>
    <w:rsid w:val="0068025A"/>
    <w:rsid w:val="006815BF"/>
    <w:rsid w:val="00683A69"/>
    <w:rsid w:val="00685F91"/>
    <w:rsid w:val="00685FA7"/>
    <w:rsid w:val="006866B9"/>
    <w:rsid w:val="00686DD1"/>
    <w:rsid w:val="00694D00"/>
    <w:rsid w:val="00695587"/>
    <w:rsid w:val="00695D38"/>
    <w:rsid w:val="00696139"/>
    <w:rsid w:val="0069661A"/>
    <w:rsid w:val="00696F3B"/>
    <w:rsid w:val="006A0994"/>
    <w:rsid w:val="006A0F29"/>
    <w:rsid w:val="006A45D4"/>
    <w:rsid w:val="006A6216"/>
    <w:rsid w:val="006A6817"/>
    <w:rsid w:val="006A7A53"/>
    <w:rsid w:val="006A7D66"/>
    <w:rsid w:val="006B0472"/>
    <w:rsid w:val="006B2069"/>
    <w:rsid w:val="006B20B8"/>
    <w:rsid w:val="006B26CB"/>
    <w:rsid w:val="006B28C2"/>
    <w:rsid w:val="006B2CC0"/>
    <w:rsid w:val="006B73B2"/>
    <w:rsid w:val="006C1B58"/>
    <w:rsid w:val="006C35B7"/>
    <w:rsid w:val="006C4260"/>
    <w:rsid w:val="006C5266"/>
    <w:rsid w:val="006C7897"/>
    <w:rsid w:val="006D0451"/>
    <w:rsid w:val="006D1C31"/>
    <w:rsid w:val="006D2B4D"/>
    <w:rsid w:val="006D3B7B"/>
    <w:rsid w:val="006D4097"/>
    <w:rsid w:val="006D42CF"/>
    <w:rsid w:val="006D4E4C"/>
    <w:rsid w:val="006D4EC5"/>
    <w:rsid w:val="006D581F"/>
    <w:rsid w:val="006D69D1"/>
    <w:rsid w:val="006E19C6"/>
    <w:rsid w:val="006E204C"/>
    <w:rsid w:val="006F0CAF"/>
    <w:rsid w:val="006F6B28"/>
    <w:rsid w:val="007016E2"/>
    <w:rsid w:val="007028DB"/>
    <w:rsid w:val="007053AD"/>
    <w:rsid w:val="00705FB5"/>
    <w:rsid w:val="00706600"/>
    <w:rsid w:val="0070684F"/>
    <w:rsid w:val="0070729D"/>
    <w:rsid w:val="00707382"/>
    <w:rsid w:val="00710547"/>
    <w:rsid w:val="007107BA"/>
    <w:rsid w:val="0071425E"/>
    <w:rsid w:val="00715481"/>
    <w:rsid w:val="007212CC"/>
    <w:rsid w:val="0072189E"/>
    <w:rsid w:val="00721F40"/>
    <w:rsid w:val="00722984"/>
    <w:rsid w:val="007229C5"/>
    <w:rsid w:val="00722C94"/>
    <w:rsid w:val="00723A0A"/>
    <w:rsid w:val="007268C2"/>
    <w:rsid w:val="0072786D"/>
    <w:rsid w:val="0073057C"/>
    <w:rsid w:val="00730667"/>
    <w:rsid w:val="00730DD7"/>
    <w:rsid w:val="0073173F"/>
    <w:rsid w:val="00731976"/>
    <w:rsid w:val="00736616"/>
    <w:rsid w:val="00736F8E"/>
    <w:rsid w:val="00740642"/>
    <w:rsid w:val="007423F9"/>
    <w:rsid w:val="0074346A"/>
    <w:rsid w:val="00744BD0"/>
    <w:rsid w:val="00751513"/>
    <w:rsid w:val="00752F64"/>
    <w:rsid w:val="007536E0"/>
    <w:rsid w:val="00757053"/>
    <w:rsid w:val="0075712F"/>
    <w:rsid w:val="0076031B"/>
    <w:rsid w:val="00760415"/>
    <w:rsid w:val="00760D18"/>
    <w:rsid w:val="00761768"/>
    <w:rsid w:val="00762B59"/>
    <w:rsid w:val="007652F6"/>
    <w:rsid w:val="00765DE6"/>
    <w:rsid w:val="00784753"/>
    <w:rsid w:val="00784C6E"/>
    <w:rsid w:val="00785C12"/>
    <w:rsid w:val="00791D60"/>
    <w:rsid w:val="00791F77"/>
    <w:rsid w:val="0079228B"/>
    <w:rsid w:val="00792393"/>
    <w:rsid w:val="007941AD"/>
    <w:rsid w:val="0079556F"/>
    <w:rsid w:val="007A0499"/>
    <w:rsid w:val="007A4B18"/>
    <w:rsid w:val="007A5D2D"/>
    <w:rsid w:val="007B1A84"/>
    <w:rsid w:val="007B35B7"/>
    <w:rsid w:val="007B3E1D"/>
    <w:rsid w:val="007B659E"/>
    <w:rsid w:val="007B6D53"/>
    <w:rsid w:val="007C0821"/>
    <w:rsid w:val="007C1E96"/>
    <w:rsid w:val="007C26D0"/>
    <w:rsid w:val="007C2A0C"/>
    <w:rsid w:val="007C5498"/>
    <w:rsid w:val="007C5B08"/>
    <w:rsid w:val="007C604D"/>
    <w:rsid w:val="007C64B0"/>
    <w:rsid w:val="007C7DF7"/>
    <w:rsid w:val="007D01DD"/>
    <w:rsid w:val="007D26B1"/>
    <w:rsid w:val="007D33E9"/>
    <w:rsid w:val="007D40E0"/>
    <w:rsid w:val="007D548E"/>
    <w:rsid w:val="007D5E0F"/>
    <w:rsid w:val="007E1538"/>
    <w:rsid w:val="007E3915"/>
    <w:rsid w:val="007F13F7"/>
    <w:rsid w:val="007F1745"/>
    <w:rsid w:val="007F1923"/>
    <w:rsid w:val="007F49AE"/>
    <w:rsid w:val="008020D3"/>
    <w:rsid w:val="00802277"/>
    <w:rsid w:val="00803A9C"/>
    <w:rsid w:val="008046BB"/>
    <w:rsid w:val="0080531A"/>
    <w:rsid w:val="008103E5"/>
    <w:rsid w:val="00811C41"/>
    <w:rsid w:val="00815C4B"/>
    <w:rsid w:val="00816C22"/>
    <w:rsid w:val="00817B7F"/>
    <w:rsid w:val="00820AD5"/>
    <w:rsid w:val="00820C87"/>
    <w:rsid w:val="00821027"/>
    <w:rsid w:val="00822501"/>
    <w:rsid w:val="00826397"/>
    <w:rsid w:val="00827360"/>
    <w:rsid w:val="00831C02"/>
    <w:rsid w:val="00832C66"/>
    <w:rsid w:val="008346FE"/>
    <w:rsid w:val="008429F3"/>
    <w:rsid w:val="00846793"/>
    <w:rsid w:val="0085005A"/>
    <w:rsid w:val="0085035D"/>
    <w:rsid w:val="00850D54"/>
    <w:rsid w:val="008510CD"/>
    <w:rsid w:val="00851FBE"/>
    <w:rsid w:val="00854BE8"/>
    <w:rsid w:val="00856594"/>
    <w:rsid w:val="00856AB2"/>
    <w:rsid w:val="00857C6C"/>
    <w:rsid w:val="008638F3"/>
    <w:rsid w:val="00863B6C"/>
    <w:rsid w:val="00870D92"/>
    <w:rsid w:val="00872114"/>
    <w:rsid w:val="00872D16"/>
    <w:rsid w:val="008747D3"/>
    <w:rsid w:val="00874884"/>
    <w:rsid w:val="008765F3"/>
    <w:rsid w:val="00876F57"/>
    <w:rsid w:val="00877351"/>
    <w:rsid w:val="008802FE"/>
    <w:rsid w:val="0088080E"/>
    <w:rsid w:val="00881264"/>
    <w:rsid w:val="00884330"/>
    <w:rsid w:val="0088593C"/>
    <w:rsid w:val="00886422"/>
    <w:rsid w:val="0088655A"/>
    <w:rsid w:val="008875BD"/>
    <w:rsid w:val="008879EC"/>
    <w:rsid w:val="00887F95"/>
    <w:rsid w:val="00890D43"/>
    <w:rsid w:val="008949A8"/>
    <w:rsid w:val="0089571F"/>
    <w:rsid w:val="008A335A"/>
    <w:rsid w:val="008A34D5"/>
    <w:rsid w:val="008A5240"/>
    <w:rsid w:val="008A5B2F"/>
    <w:rsid w:val="008A6892"/>
    <w:rsid w:val="008A68B2"/>
    <w:rsid w:val="008A7428"/>
    <w:rsid w:val="008A798E"/>
    <w:rsid w:val="008B1513"/>
    <w:rsid w:val="008B28FD"/>
    <w:rsid w:val="008B2C59"/>
    <w:rsid w:val="008B4F02"/>
    <w:rsid w:val="008B7FDB"/>
    <w:rsid w:val="008C0128"/>
    <w:rsid w:val="008C0B92"/>
    <w:rsid w:val="008C1263"/>
    <w:rsid w:val="008C2B8A"/>
    <w:rsid w:val="008D3562"/>
    <w:rsid w:val="008D6FD6"/>
    <w:rsid w:val="008E3FDE"/>
    <w:rsid w:val="008E5E1E"/>
    <w:rsid w:val="008E6104"/>
    <w:rsid w:val="008E6840"/>
    <w:rsid w:val="008F57E4"/>
    <w:rsid w:val="008F6B33"/>
    <w:rsid w:val="00902419"/>
    <w:rsid w:val="00902D4A"/>
    <w:rsid w:val="00902DCE"/>
    <w:rsid w:val="00910512"/>
    <w:rsid w:val="00910C3B"/>
    <w:rsid w:val="00911461"/>
    <w:rsid w:val="00911F7B"/>
    <w:rsid w:val="00913D03"/>
    <w:rsid w:val="00917330"/>
    <w:rsid w:val="00922A6B"/>
    <w:rsid w:val="00923930"/>
    <w:rsid w:val="009248E8"/>
    <w:rsid w:val="00925A85"/>
    <w:rsid w:val="009318A4"/>
    <w:rsid w:val="009349AC"/>
    <w:rsid w:val="009363C6"/>
    <w:rsid w:val="0094528E"/>
    <w:rsid w:val="0094585B"/>
    <w:rsid w:val="009473C9"/>
    <w:rsid w:val="009531F0"/>
    <w:rsid w:val="00953D36"/>
    <w:rsid w:val="00960386"/>
    <w:rsid w:val="009648F9"/>
    <w:rsid w:val="00965D1D"/>
    <w:rsid w:val="0096750B"/>
    <w:rsid w:val="00973913"/>
    <w:rsid w:val="00973AE1"/>
    <w:rsid w:val="00973BB6"/>
    <w:rsid w:val="00977160"/>
    <w:rsid w:val="009773EB"/>
    <w:rsid w:val="00977B90"/>
    <w:rsid w:val="00983380"/>
    <w:rsid w:val="00983FEE"/>
    <w:rsid w:val="009849ED"/>
    <w:rsid w:val="00986616"/>
    <w:rsid w:val="00986BED"/>
    <w:rsid w:val="00990342"/>
    <w:rsid w:val="0099315F"/>
    <w:rsid w:val="009958CF"/>
    <w:rsid w:val="009A0F77"/>
    <w:rsid w:val="009A1657"/>
    <w:rsid w:val="009A3029"/>
    <w:rsid w:val="009A4E2B"/>
    <w:rsid w:val="009A61EF"/>
    <w:rsid w:val="009B0A27"/>
    <w:rsid w:val="009B0D29"/>
    <w:rsid w:val="009B3CBE"/>
    <w:rsid w:val="009B76DD"/>
    <w:rsid w:val="009C0A4E"/>
    <w:rsid w:val="009C0AF7"/>
    <w:rsid w:val="009C54D5"/>
    <w:rsid w:val="009D4452"/>
    <w:rsid w:val="009D6CBD"/>
    <w:rsid w:val="009E133F"/>
    <w:rsid w:val="009E27E8"/>
    <w:rsid w:val="009E2F63"/>
    <w:rsid w:val="009E4A26"/>
    <w:rsid w:val="009E5A96"/>
    <w:rsid w:val="009E6665"/>
    <w:rsid w:val="009F0871"/>
    <w:rsid w:val="009F2B26"/>
    <w:rsid w:val="009F2BA2"/>
    <w:rsid w:val="009F3192"/>
    <w:rsid w:val="009F3ACD"/>
    <w:rsid w:val="009F6008"/>
    <w:rsid w:val="009F6D87"/>
    <w:rsid w:val="009F74EB"/>
    <w:rsid w:val="00A003C3"/>
    <w:rsid w:val="00A0166C"/>
    <w:rsid w:val="00A01DAD"/>
    <w:rsid w:val="00A020A6"/>
    <w:rsid w:val="00A024D1"/>
    <w:rsid w:val="00A02C7A"/>
    <w:rsid w:val="00A06F17"/>
    <w:rsid w:val="00A07AA1"/>
    <w:rsid w:val="00A1208B"/>
    <w:rsid w:val="00A12615"/>
    <w:rsid w:val="00A14340"/>
    <w:rsid w:val="00A16233"/>
    <w:rsid w:val="00A21686"/>
    <w:rsid w:val="00A22A78"/>
    <w:rsid w:val="00A22F83"/>
    <w:rsid w:val="00A27849"/>
    <w:rsid w:val="00A30A2F"/>
    <w:rsid w:val="00A31CF4"/>
    <w:rsid w:val="00A427BD"/>
    <w:rsid w:val="00A4336D"/>
    <w:rsid w:val="00A43650"/>
    <w:rsid w:val="00A448F0"/>
    <w:rsid w:val="00A45E0D"/>
    <w:rsid w:val="00A4643C"/>
    <w:rsid w:val="00A46A97"/>
    <w:rsid w:val="00A50D13"/>
    <w:rsid w:val="00A5213A"/>
    <w:rsid w:val="00A54D60"/>
    <w:rsid w:val="00A57C50"/>
    <w:rsid w:val="00A61F7F"/>
    <w:rsid w:val="00A661E9"/>
    <w:rsid w:val="00A667F7"/>
    <w:rsid w:val="00A67122"/>
    <w:rsid w:val="00A71761"/>
    <w:rsid w:val="00A72C38"/>
    <w:rsid w:val="00A768D0"/>
    <w:rsid w:val="00A825B4"/>
    <w:rsid w:val="00A82DA6"/>
    <w:rsid w:val="00A86E60"/>
    <w:rsid w:val="00A90273"/>
    <w:rsid w:val="00A90B4A"/>
    <w:rsid w:val="00A91F42"/>
    <w:rsid w:val="00A9602F"/>
    <w:rsid w:val="00A96BD8"/>
    <w:rsid w:val="00A96C42"/>
    <w:rsid w:val="00AA1172"/>
    <w:rsid w:val="00AA18A1"/>
    <w:rsid w:val="00AA210A"/>
    <w:rsid w:val="00AA5B7B"/>
    <w:rsid w:val="00AA5F9D"/>
    <w:rsid w:val="00AA70E5"/>
    <w:rsid w:val="00AA7C77"/>
    <w:rsid w:val="00AB4018"/>
    <w:rsid w:val="00AB555D"/>
    <w:rsid w:val="00AB616D"/>
    <w:rsid w:val="00AB6E27"/>
    <w:rsid w:val="00AB6FAC"/>
    <w:rsid w:val="00AB7364"/>
    <w:rsid w:val="00AB746D"/>
    <w:rsid w:val="00AC0904"/>
    <w:rsid w:val="00AC1133"/>
    <w:rsid w:val="00AC14BD"/>
    <w:rsid w:val="00AC1B01"/>
    <w:rsid w:val="00AC29A7"/>
    <w:rsid w:val="00AC34D2"/>
    <w:rsid w:val="00AC5592"/>
    <w:rsid w:val="00AC5693"/>
    <w:rsid w:val="00AC74C7"/>
    <w:rsid w:val="00AD03BD"/>
    <w:rsid w:val="00AD1ED8"/>
    <w:rsid w:val="00AD3298"/>
    <w:rsid w:val="00AD48BA"/>
    <w:rsid w:val="00AD6101"/>
    <w:rsid w:val="00AE0FCF"/>
    <w:rsid w:val="00AE129B"/>
    <w:rsid w:val="00AE2564"/>
    <w:rsid w:val="00AE2B12"/>
    <w:rsid w:val="00AE3EFB"/>
    <w:rsid w:val="00AE76EE"/>
    <w:rsid w:val="00AE7E81"/>
    <w:rsid w:val="00AF0701"/>
    <w:rsid w:val="00AF31AB"/>
    <w:rsid w:val="00AF4077"/>
    <w:rsid w:val="00AF493D"/>
    <w:rsid w:val="00AF504C"/>
    <w:rsid w:val="00B01EC9"/>
    <w:rsid w:val="00B0268B"/>
    <w:rsid w:val="00B04F13"/>
    <w:rsid w:val="00B05007"/>
    <w:rsid w:val="00B0588A"/>
    <w:rsid w:val="00B05D80"/>
    <w:rsid w:val="00B069E9"/>
    <w:rsid w:val="00B07CDA"/>
    <w:rsid w:val="00B100DC"/>
    <w:rsid w:val="00B11712"/>
    <w:rsid w:val="00B136C8"/>
    <w:rsid w:val="00B1638B"/>
    <w:rsid w:val="00B16711"/>
    <w:rsid w:val="00B22743"/>
    <w:rsid w:val="00B22F15"/>
    <w:rsid w:val="00B24374"/>
    <w:rsid w:val="00B2451B"/>
    <w:rsid w:val="00B26D12"/>
    <w:rsid w:val="00B2792E"/>
    <w:rsid w:val="00B31884"/>
    <w:rsid w:val="00B35A46"/>
    <w:rsid w:val="00B36096"/>
    <w:rsid w:val="00B3613F"/>
    <w:rsid w:val="00B37E2E"/>
    <w:rsid w:val="00B4155A"/>
    <w:rsid w:val="00B41915"/>
    <w:rsid w:val="00B41BAE"/>
    <w:rsid w:val="00B4286E"/>
    <w:rsid w:val="00B46969"/>
    <w:rsid w:val="00B47086"/>
    <w:rsid w:val="00B51E95"/>
    <w:rsid w:val="00B52502"/>
    <w:rsid w:val="00B567F2"/>
    <w:rsid w:val="00B63CCD"/>
    <w:rsid w:val="00B64AD0"/>
    <w:rsid w:val="00B65B64"/>
    <w:rsid w:val="00B666B2"/>
    <w:rsid w:val="00B66A7D"/>
    <w:rsid w:val="00B66F3C"/>
    <w:rsid w:val="00B677EF"/>
    <w:rsid w:val="00B709A3"/>
    <w:rsid w:val="00B7236A"/>
    <w:rsid w:val="00B757DA"/>
    <w:rsid w:val="00B77A9D"/>
    <w:rsid w:val="00B831B2"/>
    <w:rsid w:val="00B83EDD"/>
    <w:rsid w:val="00B83FFE"/>
    <w:rsid w:val="00B85469"/>
    <w:rsid w:val="00B8586C"/>
    <w:rsid w:val="00B9081C"/>
    <w:rsid w:val="00B915F7"/>
    <w:rsid w:val="00B924F2"/>
    <w:rsid w:val="00B92FF3"/>
    <w:rsid w:val="00B955A7"/>
    <w:rsid w:val="00B95B56"/>
    <w:rsid w:val="00BA094F"/>
    <w:rsid w:val="00BA2990"/>
    <w:rsid w:val="00BA368C"/>
    <w:rsid w:val="00BA598A"/>
    <w:rsid w:val="00BA7646"/>
    <w:rsid w:val="00BB04D4"/>
    <w:rsid w:val="00BB2348"/>
    <w:rsid w:val="00BB27F9"/>
    <w:rsid w:val="00BB31EC"/>
    <w:rsid w:val="00BB3851"/>
    <w:rsid w:val="00BB46DC"/>
    <w:rsid w:val="00BB4884"/>
    <w:rsid w:val="00BB4FB3"/>
    <w:rsid w:val="00BB77C8"/>
    <w:rsid w:val="00BB7ED7"/>
    <w:rsid w:val="00BB7F18"/>
    <w:rsid w:val="00BC057B"/>
    <w:rsid w:val="00BC070B"/>
    <w:rsid w:val="00BC0B06"/>
    <w:rsid w:val="00BC170A"/>
    <w:rsid w:val="00BC22A8"/>
    <w:rsid w:val="00BC53D3"/>
    <w:rsid w:val="00BC5706"/>
    <w:rsid w:val="00BC682D"/>
    <w:rsid w:val="00BD40E0"/>
    <w:rsid w:val="00BD46D4"/>
    <w:rsid w:val="00BD57C1"/>
    <w:rsid w:val="00BD5CE4"/>
    <w:rsid w:val="00BD6615"/>
    <w:rsid w:val="00BD6F70"/>
    <w:rsid w:val="00BE1458"/>
    <w:rsid w:val="00BE5629"/>
    <w:rsid w:val="00BE6D6E"/>
    <w:rsid w:val="00BF5C04"/>
    <w:rsid w:val="00BF7675"/>
    <w:rsid w:val="00C0049B"/>
    <w:rsid w:val="00C00AC8"/>
    <w:rsid w:val="00C02CA1"/>
    <w:rsid w:val="00C02F62"/>
    <w:rsid w:val="00C03902"/>
    <w:rsid w:val="00C040D1"/>
    <w:rsid w:val="00C046AB"/>
    <w:rsid w:val="00C07239"/>
    <w:rsid w:val="00C12685"/>
    <w:rsid w:val="00C1283E"/>
    <w:rsid w:val="00C1431A"/>
    <w:rsid w:val="00C153F9"/>
    <w:rsid w:val="00C1564E"/>
    <w:rsid w:val="00C172C1"/>
    <w:rsid w:val="00C1756D"/>
    <w:rsid w:val="00C20BB4"/>
    <w:rsid w:val="00C20E58"/>
    <w:rsid w:val="00C22313"/>
    <w:rsid w:val="00C24880"/>
    <w:rsid w:val="00C26941"/>
    <w:rsid w:val="00C26B89"/>
    <w:rsid w:val="00C26CE8"/>
    <w:rsid w:val="00C27B10"/>
    <w:rsid w:val="00C30D12"/>
    <w:rsid w:val="00C31289"/>
    <w:rsid w:val="00C31AAC"/>
    <w:rsid w:val="00C32351"/>
    <w:rsid w:val="00C450C4"/>
    <w:rsid w:val="00C478EA"/>
    <w:rsid w:val="00C506EA"/>
    <w:rsid w:val="00C51805"/>
    <w:rsid w:val="00C5330A"/>
    <w:rsid w:val="00C565D5"/>
    <w:rsid w:val="00C57787"/>
    <w:rsid w:val="00C57AE5"/>
    <w:rsid w:val="00C606A3"/>
    <w:rsid w:val="00C64B7B"/>
    <w:rsid w:val="00C66FB0"/>
    <w:rsid w:val="00C67A66"/>
    <w:rsid w:val="00C709F5"/>
    <w:rsid w:val="00C74711"/>
    <w:rsid w:val="00C7475A"/>
    <w:rsid w:val="00C7732F"/>
    <w:rsid w:val="00C81FBA"/>
    <w:rsid w:val="00C8284F"/>
    <w:rsid w:val="00C8504C"/>
    <w:rsid w:val="00C85096"/>
    <w:rsid w:val="00C86638"/>
    <w:rsid w:val="00C87632"/>
    <w:rsid w:val="00C90A7D"/>
    <w:rsid w:val="00C90B18"/>
    <w:rsid w:val="00C9324E"/>
    <w:rsid w:val="00C94F5E"/>
    <w:rsid w:val="00C96D18"/>
    <w:rsid w:val="00CA1EFB"/>
    <w:rsid w:val="00CA2A23"/>
    <w:rsid w:val="00CA32D6"/>
    <w:rsid w:val="00CA3F53"/>
    <w:rsid w:val="00CA4677"/>
    <w:rsid w:val="00CA539F"/>
    <w:rsid w:val="00CA582A"/>
    <w:rsid w:val="00CA5C9E"/>
    <w:rsid w:val="00CB024C"/>
    <w:rsid w:val="00CB0BCA"/>
    <w:rsid w:val="00CB0BD3"/>
    <w:rsid w:val="00CB1113"/>
    <w:rsid w:val="00CB1C82"/>
    <w:rsid w:val="00CC295C"/>
    <w:rsid w:val="00CC4515"/>
    <w:rsid w:val="00CC48C7"/>
    <w:rsid w:val="00CC7511"/>
    <w:rsid w:val="00CD0F68"/>
    <w:rsid w:val="00CD2D34"/>
    <w:rsid w:val="00CD2E6E"/>
    <w:rsid w:val="00CD2F3E"/>
    <w:rsid w:val="00CD3C6D"/>
    <w:rsid w:val="00CD4786"/>
    <w:rsid w:val="00CD59FC"/>
    <w:rsid w:val="00CD6D3E"/>
    <w:rsid w:val="00CE0443"/>
    <w:rsid w:val="00CE7BE0"/>
    <w:rsid w:val="00CF1B74"/>
    <w:rsid w:val="00CF1B97"/>
    <w:rsid w:val="00CF1CB5"/>
    <w:rsid w:val="00CF1FA8"/>
    <w:rsid w:val="00CF2AD1"/>
    <w:rsid w:val="00CF2E2F"/>
    <w:rsid w:val="00CF31E3"/>
    <w:rsid w:val="00D03BDD"/>
    <w:rsid w:val="00D03C99"/>
    <w:rsid w:val="00D050B2"/>
    <w:rsid w:val="00D052CD"/>
    <w:rsid w:val="00D05811"/>
    <w:rsid w:val="00D05991"/>
    <w:rsid w:val="00D05CBF"/>
    <w:rsid w:val="00D06163"/>
    <w:rsid w:val="00D06298"/>
    <w:rsid w:val="00D069C7"/>
    <w:rsid w:val="00D1090B"/>
    <w:rsid w:val="00D1280C"/>
    <w:rsid w:val="00D129E7"/>
    <w:rsid w:val="00D12B0B"/>
    <w:rsid w:val="00D13418"/>
    <w:rsid w:val="00D141C7"/>
    <w:rsid w:val="00D1687B"/>
    <w:rsid w:val="00D16CA8"/>
    <w:rsid w:val="00D20739"/>
    <w:rsid w:val="00D217DF"/>
    <w:rsid w:val="00D21DC6"/>
    <w:rsid w:val="00D22282"/>
    <w:rsid w:val="00D263FB"/>
    <w:rsid w:val="00D3129A"/>
    <w:rsid w:val="00D34101"/>
    <w:rsid w:val="00D369A1"/>
    <w:rsid w:val="00D3740D"/>
    <w:rsid w:val="00D37A0E"/>
    <w:rsid w:val="00D40237"/>
    <w:rsid w:val="00D433AC"/>
    <w:rsid w:val="00D439BF"/>
    <w:rsid w:val="00D50101"/>
    <w:rsid w:val="00D51655"/>
    <w:rsid w:val="00D51E11"/>
    <w:rsid w:val="00D5293A"/>
    <w:rsid w:val="00D52EEC"/>
    <w:rsid w:val="00D570C5"/>
    <w:rsid w:val="00D57EB9"/>
    <w:rsid w:val="00D62C41"/>
    <w:rsid w:val="00D630D6"/>
    <w:rsid w:val="00D63364"/>
    <w:rsid w:val="00D63686"/>
    <w:rsid w:val="00D649CA"/>
    <w:rsid w:val="00D72DB7"/>
    <w:rsid w:val="00D740DD"/>
    <w:rsid w:val="00D7415D"/>
    <w:rsid w:val="00D753DD"/>
    <w:rsid w:val="00D82D3F"/>
    <w:rsid w:val="00D84434"/>
    <w:rsid w:val="00D84B36"/>
    <w:rsid w:val="00D8514F"/>
    <w:rsid w:val="00D903F6"/>
    <w:rsid w:val="00D92845"/>
    <w:rsid w:val="00D95B09"/>
    <w:rsid w:val="00D96BC5"/>
    <w:rsid w:val="00DA0479"/>
    <w:rsid w:val="00DA0C4C"/>
    <w:rsid w:val="00DA0E00"/>
    <w:rsid w:val="00DA1540"/>
    <w:rsid w:val="00DA2217"/>
    <w:rsid w:val="00DA5E8D"/>
    <w:rsid w:val="00DA66B1"/>
    <w:rsid w:val="00DB1587"/>
    <w:rsid w:val="00DB17B3"/>
    <w:rsid w:val="00DB2565"/>
    <w:rsid w:val="00DB2593"/>
    <w:rsid w:val="00DB2941"/>
    <w:rsid w:val="00DB54C7"/>
    <w:rsid w:val="00DB766D"/>
    <w:rsid w:val="00DB7EA8"/>
    <w:rsid w:val="00DC08ED"/>
    <w:rsid w:val="00DC0A2C"/>
    <w:rsid w:val="00DC0B66"/>
    <w:rsid w:val="00DC191C"/>
    <w:rsid w:val="00DC1A4A"/>
    <w:rsid w:val="00DC26A6"/>
    <w:rsid w:val="00DC4A96"/>
    <w:rsid w:val="00DC6CA6"/>
    <w:rsid w:val="00DC7146"/>
    <w:rsid w:val="00DC727B"/>
    <w:rsid w:val="00DC7D43"/>
    <w:rsid w:val="00DD1457"/>
    <w:rsid w:val="00DD1C8B"/>
    <w:rsid w:val="00DD1DF5"/>
    <w:rsid w:val="00DD40AB"/>
    <w:rsid w:val="00DD4BCE"/>
    <w:rsid w:val="00DD52A1"/>
    <w:rsid w:val="00DD5F4C"/>
    <w:rsid w:val="00DD6EEE"/>
    <w:rsid w:val="00DE03B2"/>
    <w:rsid w:val="00DE097A"/>
    <w:rsid w:val="00DE16DF"/>
    <w:rsid w:val="00DE443C"/>
    <w:rsid w:val="00DE4CF0"/>
    <w:rsid w:val="00DE4F2B"/>
    <w:rsid w:val="00DE5E49"/>
    <w:rsid w:val="00DE7581"/>
    <w:rsid w:val="00DF400A"/>
    <w:rsid w:val="00DF464E"/>
    <w:rsid w:val="00DF6154"/>
    <w:rsid w:val="00DF7AD0"/>
    <w:rsid w:val="00DF7B9B"/>
    <w:rsid w:val="00E017D2"/>
    <w:rsid w:val="00E044EA"/>
    <w:rsid w:val="00E05CFE"/>
    <w:rsid w:val="00E121D3"/>
    <w:rsid w:val="00E1401D"/>
    <w:rsid w:val="00E148AE"/>
    <w:rsid w:val="00E15ECF"/>
    <w:rsid w:val="00E16433"/>
    <w:rsid w:val="00E21059"/>
    <w:rsid w:val="00E22997"/>
    <w:rsid w:val="00E23402"/>
    <w:rsid w:val="00E23426"/>
    <w:rsid w:val="00E23626"/>
    <w:rsid w:val="00E2466B"/>
    <w:rsid w:val="00E248FC"/>
    <w:rsid w:val="00E26045"/>
    <w:rsid w:val="00E278BC"/>
    <w:rsid w:val="00E3044F"/>
    <w:rsid w:val="00E30491"/>
    <w:rsid w:val="00E30844"/>
    <w:rsid w:val="00E3165F"/>
    <w:rsid w:val="00E3447D"/>
    <w:rsid w:val="00E35115"/>
    <w:rsid w:val="00E354FA"/>
    <w:rsid w:val="00E3754D"/>
    <w:rsid w:val="00E40DC5"/>
    <w:rsid w:val="00E41043"/>
    <w:rsid w:val="00E42A1B"/>
    <w:rsid w:val="00E42B3B"/>
    <w:rsid w:val="00E4467F"/>
    <w:rsid w:val="00E446F4"/>
    <w:rsid w:val="00E44E7D"/>
    <w:rsid w:val="00E4572E"/>
    <w:rsid w:val="00E45881"/>
    <w:rsid w:val="00E4757C"/>
    <w:rsid w:val="00E52CCA"/>
    <w:rsid w:val="00E56414"/>
    <w:rsid w:val="00E56E16"/>
    <w:rsid w:val="00E57A9C"/>
    <w:rsid w:val="00E60026"/>
    <w:rsid w:val="00E60220"/>
    <w:rsid w:val="00E60B4C"/>
    <w:rsid w:val="00E60FFC"/>
    <w:rsid w:val="00E61557"/>
    <w:rsid w:val="00E65E37"/>
    <w:rsid w:val="00E67311"/>
    <w:rsid w:val="00E810B0"/>
    <w:rsid w:val="00E82E6A"/>
    <w:rsid w:val="00E913CA"/>
    <w:rsid w:val="00E92AAC"/>
    <w:rsid w:val="00E92CF4"/>
    <w:rsid w:val="00E935FA"/>
    <w:rsid w:val="00E95F85"/>
    <w:rsid w:val="00E96635"/>
    <w:rsid w:val="00EA168D"/>
    <w:rsid w:val="00EA4602"/>
    <w:rsid w:val="00EA46BA"/>
    <w:rsid w:val="00EB2448"/>
    <w:rsid w:val="00EB3037"/>
    <w:rsid w:val="00EC1107"/>
    <w:rsid w:val="00EC143C"/>
    <w:rsid w:val="00EC736F"/>
    <w:rsid w:val="00ED004D"/>
    <w:rsid w:val="00ED04D4"/>
    <w:rsid w:val="00ED1B5B"/>
    <w:rsid w:val="00ED1BA7"/>
    <w:rsid w:val="00ED4264"/>
    <w:rsid w:val="00ED4712"/>
    <w:rsid w:val="00ED59F7"/>
    <w:rsid w:val="00ED5F94"/>
    <w:rsid w:val="00ED722C"/>
    <w:rsid w:val="00ED726F"/>
    <w:rsid w:val="00ED73BE"/>
    <w:rsid w:val="00EE1BCB"/>
    <w:rsid w:val="00EE34A3"/>
    <w:rsid w:val="00EE52C6"/>
    <w:rsid w:val="00EE59DB"/>
    <w:rsid w:val="00EE6C23"/>
    <w:rsid w:val="00EF130A"/>
    <w:rsid w:val="00EF1B08"/>
    <w:rsid w:val="00EF236A"/>
    <w:rsid w:val="00EF438D"/>
    <w:rsid w:val="00EF5300"/>
    <w:rsid w:val="00EF68E5"/>
    <w:rsid w:val="00EF6B5E"/>
    <w:rsid w:val="00EF6D0D"/>
    <w:rsid w:val="00EF6DDA"/>
    <w:rsid w:val="00F003DF"/>
    <w:rsid w:val="00F010C9"/>
    <w:rsid w:val="00F03A10"/>
    <w:rsid w:val="00F04814"/>
    <w:rsid w:val="00F0596C"/>
    <w:rsid w:val="00F07D51"/>
    <w:rsid w:val="00F07E7E"/>
    <w:rsid w:val="00F12769"/>
    <w:rsid w:val="00F12D26"/>
    <w:rsid w:val="00F134A0"/>
    <w:rsid w:val="00F14DE6"/>
    <w:rsid w:val="00F20E64"/>
    <w:rsid w:val="00F22033"/>
    <w:rsid w:val="00F245B3"/>
    <w:rsid w:val="00F25A56"/>
    <w:rsid w:val="00F262E5"/>
    <w:rsid w:val="00F30714"/>
    <w:rsid w:val="00F31905"/>
    <w:rsid w:val="00F32C85"/>
    <w:rsid w:val="00F358DC"/>
    <w:rsid w:val="00F35B23"/>
    <w:rsid w:val="00F35BDC"/>
    <w:rsid w:val="00F42430"/>
    <w:rsid w:val="00F456D6"/>
    <w:rsid w:val="00F46B6B"/>
    <w:rsid w:val="00F47944"/>
    <w:rsid w:val="00F479FE"/>
    <w:rsid w:val="00F51E93"/>
    <w:rsid w:val="00F53B1A"/>
    <w:rsid w:val="00F5584D"/>
    <w:rsid w:val="00F565FD"/>
    <w:rsid w:val="00F6041A"/>
    <w:rsid w:val="00F61594"/>
    <w:rsid w:val="00F616DA"/>
    <w:rsid w:val="00F63BE3"/>
    <w:rsid w:val="00F6493D"/>
    <w:rsid w:val="00F64B00"/>
    <w:rsid w:val="00F654FA"/>
    <w:rsid w:val="00F665E5"/>
    <w:rsid w:val="00F7119E"/>
    <w:rsid w:val="00F71698"/>
    <w:rsid w:val="00F7344E"/>
    <w:rsid w:val="00F74508"/>
    <w:rsid w:val="00F74ACB"/>
    <w:rsid w:val="00F81CD3"/>
    <w:rsid w:val="00F8262A"/>
    <w:rsid w:val="00F82E39"/>
    <w:rsid w:val="00F854C6"/>
    <w:rsid w:val="00F85EDC"/>
    <w:rsid w:val="00F86CC4"/>
    <w:rsid w:val="00F90356"/>
    <w:rsid w:val="00F926AA"/>
    <w:rsid w:val="00F9482E"/>
    <w:rsid w:val="00F94F54"/>
    <w:rsid w:val="00F95888"/>
    <w:rsid w:val="00F96513"/>
    <w:rsid w:val="00F96B97"/>
    <w:rsid w:val="00FA1355"/>
    <w:rsid w:val="00FA3888"/>
    <w:rsid w:val="00FA3D93"/>
    <w:rsid w:val="00FA4927"/>
    <w:rsid w:val="00FA4E72"/>
    <w:rsid w:val="00FA6053"/>
    <w:rsid w:val="00FA75B6"/>
    <w:rsid w:val="00FB0BA7"/>
    <w:rsid w:val="00FB5004"/>
    <w:rsid w:val="00FC36D1"/>
    <w:rsid w:val="00FC48F9"/>
    <w:rsid w:val="00FC49FC"/>
    <w:rsid w:val="00FC4D12"/>
    <w:rsid w:val="00FC6E15"/>
    <w:rsid w:val="00FC7360"/>
    <w:rsid w:val="00FD0657"/>
    <w:rsid w:val="00FD08D2"/>
    <w:rsid w:val="00FD14A2"/>
    <w:rsid w:val="00FD1EBA"/>
    <w:rsid w:val="00FD236E"/>
    <w:rsid w:val="00FD2F88"/>
    <w:rsid w:val="00FD343E"/>
    <w:rsid w:val="00FD3EA8"/>
    <w:rsid w:val="00FE228F"/>
    <w:rsid w:val="00FF2FC1"/>
    <w:rsid w:val="00FF4AA5"/>
    <w:rsid w:val="00FF6F6C"/>
    <w:rsid w:val="024F8808"/>
    <w:rsid w:val="1534F9D4"/>
    <w:rsid w:val="24944324"/>
    <w:rsid w:val="2D7025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C3911"/>
  <w15:chartTrackingRefBased/>
  <w15:docId w15:val="{50AC658B-B729-4CC6-99EC-341E29B9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8BA"/>
    <w:rPr>
      <w:rFonts w:eastAsia="Times New Roman"/>
      <w:sz w:val="24"/>
      <w:szCs w:val="24"/>
      <w:lang w:eastAsia="en-US"/>
    </w:rPr>
  </w:style>
  <w:style w:type="paragraph" w:styleId="Heading1">
    <w:name w:val="heading 1"/>
    <w:basedOn w:val="Normal"/>
    <w:next w:val="Normal"/>
    <w:link w:val="Heading1Char"/>
    <w:qFormat/>
    <w:rsid w:val="00AD48BA"/>
    <w:pPr>
      <w:outlineLvl w:val="0"/>
    </w:pPr>
    <w:rPr>
      <w:b/>
    </w:rPr>
  </w:style>
  <w:style w:type="paragraph" w:styleId="Heading2">
    <w:name w:val="heading 2"/>
    <w:basedOn w:val="Normal"/>
    <w:next w:val="Normal"/>
    <w:link w:val="Heading2Char"/>
    <w:semiHidden/>
    <w:unhideWhenUsed/>
    <w:qFormat/>
    <w:rsid w:val="001512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8BA"/>
    <w:pPr>
      <w:widowControl w:val="0"/>
      <w:tabs>
        <w:tab w:val="center" w:pos="4320"/>
        <w:tab w:val="right" w:pos="8640"/>
      </w:tabs>
    </w:pPr>
    <w:rPr>
      <w:snapToGrid w:val="0"/>
      <w:szCs w:val="20"/>
      <w:lang w:val="en-GB"/>
    </w:rPr>
  </w:style>
  <w:style w:type="paragraph" w:styleId="FootnoteText">
    <w:name w:val="footnote text"/>
    <w:aliases w:val="ft,ADB,single space"/>
    <w:basedOn w:val="Normal"/>
    <w:link w:val="FootnoteTextChar"/>
    <w:uiPriority w:val="99"/>
    <w:rsid w:val="00AD48BA"/>
    <w:pPr>
      <w:widowControl w:val="0"/>
    </w:pPr>
    <w:rPr>
      <w:rFonts w:eastAsia="MS Mincho"/>
      <w:snapToGrid w:val="0"/>
      <w:sz w:val="20"/>
      <w:szCs w:val="20"/>
      <w:lang w:val="en-GB"/>
    </w:rPr>
  </w:style>
  <w:style w:type="paragraph" w:styleId="BalloonText">
    <w:name w:val="Balloon Text"/>
    <w:basedOn w:val="Normal"/>
    <w:link w:val="BalloonTextChar"/>
    <w:semiHidden/>
    <w:rsid w:val="00AD48BA"/>
    <w:pPr>
      <w:widowControl w:val="0"/>
    </w:pPr>
    <w:rPr>
      <w:rFonts w:ascii="Tahoma" w:hAnsi="Tahoma" w:cs="Tahoma"/>
      <w:snapToGrid w:val="0"/>
      <w:sz w:val="16"/>
      <w:szCs w:val="16"/>
      <w:lang w:val="en-GB"/>
    </w:rPr>
  </w:style>
  <w:style w:type="character" w:styleId="FootnoteReference">
    <w:name w:val="footnote reference"/>
    <w:uiPriority w:val="99"/>
    <w:rsid w:val="00AD48BA"/>
    <w:rPr>
      <w:vertAlign w:val="superscript"/>
    </w:rPr>
  </w:style>
  <w:style w:type="character" w:styleId="CommentReference">
    <w:name w:val="annotation reference"/>
    <w:semiHidden/>
    <w:rsid w:val="00AD48BA"/>
    <w:rPr>
      <w:sz w:val="16"/>
      <w:szCs w:val="16"/>
    </w:rPr>
  </w:style>
  <w:style w:type="paragraph" w:styleId="CommentText">
    <w:name w:val="annotation text"/>
    <w:basedOn w:val="Normal"/>
    <w:link w:val="CommentTextChar1"/>
    <w:semiHidden/>
    <w:rsid w:val="00AD48BA"/>
    <w:rPr>
      <w:rFonts w:eastAsia="MS Mincho"/>
      <w:sz w:val="20"/>
      <w:szCs w:val="20"/>
    </w:rPr>
  </w:style>
  <w:style w:type="character" w:styleId="Hyperlink">
    <w:name w:val="Hyperlink"/>
    <w:rsid w:val="00AD48BA"/>
    <w:rPr>
      <w:strike w:val="0"/>
      <w:dstrike w:val="0"/>
      <w:color w:val="003366"/>
      <w:u w:val="none"/>
      <w:effect w:val="none"/>
    </w:rPr>
  </w:style>
  <w:style w:type="character" w:customStyle="1" w:styleId="CommentTextChar1">
    <w:name w:val="Comment Text Char1"/>
    <w:link w:val="CommentText"/>
    <w:rsid w:val="00AD48BA"/>
    <w:rPr>
      <w:lang w:val="en-US" w:eastAsia="en-US" w:bidi="ar-SA"/>
    </w:rPr>
  </w:style>
  <w:style w:type="paragraph" w:styleId="CommentSubject">
    <w:name w:val="annotation subject"/>
    <w:basedOn w:val="CommentText"/>
    <w:next w:val="CommentText"/>
    <w:semiHidden/>
    <w:rsid w:val="00AD3298"/>
    <w:rPr>
      <w:b/>
      <w:bCs/>
    </w:rPr>
  </w:style>
  <w:style w:type="table" w:styleId="TableGrid">
    <w:name w:val="Table Grid"/>
    <w:basedOn w:val="TableNormal"/>
    <w:uiPriority w:val="39"/>
    <w:rsid w:val="0023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538"/>
    <w:pPr>
      <w:ind w:left="720"/>
      <w:contextualSpacing/>
    </w:pPr>
    <w:rPr>
      <w:rFonts w:ascii="Calibri" w:hAnsi="Calibri"/>
      <w:sz w:val="22"/>
      <w:szCs w:val="22"/>
    </w:rPr>
  </w:style>
  <w:style w:type="character" w:customStyle="1" w:styleId="CommentTextChar">
    <w:name w:val="Comment Text Char"/>
    <w:locked/>
    <w:rsid w:val="004317F4"/>
    <w:rPr>
      <w:rFonts w:cs="Times New Roman"/>
      <w:lang w:val="en-US" w:eastAsia="en-US" w:bidi="ar-SA"/>
    </w:rPr>
  </w:style>
  <w:style w:type="character" w:customStyle="1" w:styleId="apple-style-span">
    <w:name w:val="apple-style-span"/>
    <w:rsid w:val="004317F4"/>
    <w:rPr>
      <w:rFonts w:cs="Times New Roman"/>
    </w:rPr>
  </w:style>
  <w:style w:type="paragraph" w:styleId="BodyText3">
    <w:name w:val="Body Text 3"/>
    <w:basedOn w:val="Normal"/>
    <w:rsid w:val="003A29E0"/>
    <w:pPr>
      <w:spacing w:after="60"/>
      <w:jc w:val="both"/>
    </w:pPr>
    <w:rPr>
      <w:rFonts w:ascii="Arial" w:hAnsi="Arial"/>
      <w:sz w:val="22"/>
      <w:szCs w:val="20"/>
    </w:rPr>
  </w:style>
  <w:style w:type="paragraph" w:styleId="Footer">
    <w:name w:val="footer"/>
    <w:basedOn w:val="Normal"/>
    <w:rsid w:val="00D34101"/>
    <w:pPr>
      <w:tabs>
        <w:tab w:val="center" w:pos="4153"/>
        <w:tab w:val="right" w:pos="8306"/>
      </w:tabs>
    </w:pPr>
  </w:style>
  <w:style w:type="character" w:styleId="PageNumber">
    <w:name w:val="page number"/>
    <w:basedOn w:val="DefaultParagraphFont"/>
    <w:rsid w:val="00D34101"/>
  </w:style>
  <w:style w:type="character" w:customStyle="1" w:styleId="FootnoteTextChar">
    <w:name w:val="Footnote Text Char"/>
    <w:aliases w:val="ft Char,ADB Char,single space Char"/>
    <w:link w:val="FootnoteText"/>
    <w:uiPriority w:val="99"/>
    <w:locked/>
    <w:rsid w:val="000035C4"/>
    <w:rPr>
      <w:snapToGrid w:val="0"/>
      <w:lang w:val="en-GB" w:eastAsia="en-US" w:bidi="ar-SA"/>
    </w:rPr>
  </w:style>
  <w:style w:type="paragraph" w:styleId="BodyText">
    <w:name w:val="Body Text"/>
    <w:basedOn w:val="Normal"/>
    <w:rsid w:val="007F1745"/>
    <w:pPr>
      <w:spacing w:after="120"/>
    </w:pPr>
  </w:style>
  <w:style w:type="paragraph" w:styleId="TOC1">
    <w:name w:val="toc 1"/>
    <w:basedOn w:val="Normal"/>
    <w:next w:val="Normal"/>
    <w:autoRedefine/>
    <w:rsid w:val="006629A5"/>
    <w:pPr>
      <w:tabs>
        <w:tab w:val="right" w:leader="dot" w:pos="8630"/>
      </w:tabs>
      <w:jc w:val="center"/>
    </w:pPr>
    <w:rPr>
      <w:b/>
      <w:sz w:val="28"/>
      <w:szCs w:val="28"/>
    </w:rPr>
  </w:style>
  <w:style w:type="character" w:customStyle="1" w:styleId="Heading1Char">
    <w:name w:val="Heading 1 Char"/>
    <w:basedOn w:val="DefaultParagraphFont"/>
    <w:link w:val="Heading1"/>
    <w:rsid w:val="003C06C5"/>
    <w:rPr>
      <w:rFonts w:eastAsia="Times New Roman"/>
      <w:b/>
      <w:sz w:val="24"/>
      <w:szCs w:val="24"/>
      <w:lang w:eastAsia="en-US"/>
    </w:rPr>
  </w:style>
  <w:style w:type="character" w:customStyle="1" w:styleId="Olstomnmnande1">
    <w:name w:val="Olöst omnämnande1"/>
    <w:basedOn w:val="DefaultParagraphFont"/>
    <w:uiPriority w:val="99"/>
    <w:semiHidden/>
    <w:unhideWhenUsed/>
    <w:rsid w:val="00D05991"/>
    <w:rPr>
      <w:color w:val="808080"/>
      <w:shd w:val="clear" w:color="auto" w:fill="E6E6E6"/>
    </w:rPr>
  </w:style>
  <w:style w:type="paragraph" w:styleId="Revision">
    <w:name w:val="Revision"/>
    <w:hidden/>
    <w:uiPriority w:val="99"/>
    <w:semiHidden/>
    <w:rsid w:val="00D05991"/>
    <w:rPr>
      <w:rFonts w:eastAsia="Times New Roman"/>
      <w:sz w:val="24"/>
      <w:szCs w:val="24"/>
      <w:lang w:eastAsia="en-US"/>
    </w:rPr>
  </w:style>
  <w:style w:type="character" w:customStyle="1" w:styleId="BalloonTextChar">
    <w:name w:val="Balloon Text Char"/>
    <w:basedOn w:val="DefaultParagraphFont"/>
    <w:link w:val="BalloonText"/>
    <w:semiHidden/>
    <w:rsid w:val="00584237"/>
    <w:rPr>
      <w:rFonts w:ascii="Tahoma" w:eastAsia="Times New Roman" w:hAnsi="Tahoma" w:cs="Tahoma"/>
      <w:snapToGrid w:val="0"/>
      <w:sz w:val="16"/>
      <w:szCs w:val="16"/>
      <w:lang w:val="en-GB" w:eastAsia="en-US"/>
    </w:rPr>
  </w:style>
  <w:style w:type="character" w:styleId="FollowedHyperlink">
    <w:name w:val="FollowedHyperlink"/>
    <w:basedOn w:val="DefaultParagraphFont"/>
    <w:rsid w:val="00A1208B"/>
    <w:rPr>
      <w:color w:val="954F72" w:themeColor="followedHyperlink"/>
      <w:u w:val="single"/>
    </w:rPr>
  </w:style>
  <w:style w:type="character" w:styleId="UnresolvedMention">
    <w:name w:val="Unresolved Mention"/>
    <w:basedOn w:val="DefaultParagraphFont"/>
    <w:uiPriority w:val="99"/>
    <w:semiHidden/>
    <w:unhideWhenUsed/>
    <w:rsid w:val="009C54D5"/>
    <w:rPr>
      <w:color w:val="605E5C"/>
      <w:shd w:val="clear" w:color="auto" w:fill="E1DFDD"/>
    </w:rPr>
  </w:style>
  <w:style w:type="character" w:customStyle="1" w:styleId="Heading2Char">
    <w:name w:val="Heading 2 Char"/>
    <w:basedOn w:val="DefaultParagraphFont"/>
    <w:link w:val="Heading2"/>
    <w:semiHidden/>
    <w:rsid w:val="0015121C"/>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524">
      <w:bodyDiv w:val="1"/>
      <w:marLeft w:val="0"/>
      <w:marRight w:val="0"/>
      <w:marTop w:val="0"/>
      <w:marBottom w:val="0"/>
      <w:divBdr>
        <w:top w:val="none" w:sz="0" w:space="0" w:color="auto"/>
        <w:left w:val="none" w:sz="0" w:space="0" w:color="auto"/>
        <w:bottom w:val="none" w:sz="0" w:space="0" w:color="auto"/>
        <w:right w:val="none" w:sz="0" w:space="0" w:color="auto"/>
      </w:divBdr>
      <w:divsChild>
        <w:div w:id="1199273655">
          <w:marLeft w:val="547"/>
          <w:marRight w:val="0"/>
          <w:marTop w:val="0"/>
          <w:marBottom w:val="0"/>
          <w:divBdr>
            <w:top w:val="none" w:sz="0" w:space="0" w:color="auto"/>
            <w:left w:val="none" w:sz="0" w:space="0" w:color="auto"/>
            <w:bottom w:val="none" w:sz="0" w:space="0" w:color="auto"/>
            <w:right w:val="none" w:sz="0" w:space="0" w:color="auto"/>
          </w:divBdr>
        </w:div>
      </w:divsChild>
    </w:div>
    <w:div w:id="48578787">
      <w:bodyDiv w:val="1"/>
      <w:marLeft w:val="0"/>
      <w:marRight w:val="0"/>
      <w:marTop w:val="0"/>
      <w:marBottom w:val="0"/>
      <w:divBdr>
        <w:top w:val="none" w:sz="0" w:space="0" w:color="auto"/>
        <w:left w:val="none" w:sz="0" w:space="0" w:color="auto"/>
        <w:bottom w:val="none" w:sz="0" w:space="0" w:color="auto"/>
        <w:right w:val="none" w:sz="0" w:space="0" w:color="auto"/>
      </w:divBdr>
    </w:div>
    <w:div w:id="70930451">
      <w:bodyDiv w:val="1"/>
      <w:marLeft w:val="0"/>
      <w:marRight w:val="0"/>
      <w:marTop w:val="0"/>
      <w:marBottom w:val="0"/>
      <w:divBdr>
        <w:top w:val="none" w:sz="0" w:space="0" w:color="auto"/>
        <w:left w:val="none" w:sz="0" w:space="0" w:color="auto"/>
        <w:bottom w:val="none" w:sz="0" w:space="0" w:color="auto"/>
        <w:right w:val="none" w:sz="0" w:space="0" w:color="auto"/>
      </w:divBdr>
    </w:div>
    <w:div w:id="103305774">
      <w:bodyDiv w:val="1"/>
      <w:marLeft w:val="0"/>
      <w:marRight w:val="0"/>
      <w:marTop w:val="0"/>
      <w:marBottom w:val="0"/>
      <w:divBdr>
        <w:top w:val="none" w:sz="0" w:space="0" w:color="auto"/>
        <w:left w:val="none" w:sz="0" w:space="0" w:color="auto"/>
        <w:bottom w:val="none" w:sz="0" w:space="0" w:color="auto"/>
        <w:right w:val="none" w:sz="0" w:space="0" w:color="auto"/>
      </w:divBdr>
    </w:div>
    <w:div w:id="280383769">
      <w:bodyDiv w:val="1"/>
      <w:marLeft w:val="0"/>
      <w:marRight w:val="0"/>
      <w:marTop w:val="0"/>
      <w:marBottom w:val="0"/>
      <w:divBdr>
        <w:top w:val="none" w:sz="0" w:space="0" w:color="auto"/>
        <w:left w:val="none" w:sz="0" w:space="0" w:color="auto"/>
        <w:bottom w:val="none" w:sz="0" w:space="0" w:color="auto"/>
        <w:right w:val="none" w:sz="0" w:space="0" w:color="auto"/>
      </w:divBdr>
    </w:div>
    <w:div w:id="408159962">
      <w:bodyDiv w:val="1"/>
      <w:marLeft w:val="0"/>
      <w:marRight w:val="0"/>
      <w:marTop w:val="0"/>
      <w:marBottom w:val="0"/>
      <w:divBdr>
        <w:top w:val="none" w:sz="0" w:space="0" w:color="auto"/>
        <w:left w:val="none" w:sz="0" w:space="0" w:color="auto"/>
        <w:bottom w:val="none" w:sz="0" w:space="0" w:color="auto"/>
        <w:right w:val="none" w:sz="0" w:space="0" w:color="auto"/>
      </w:divBdr>
    </w:div>
    <w:div w:id="482503370">
      <w:bodyDiv w:val="1"/>
      <w:marLeft w:val="0"/>
      <w:marRight w:val="0"/>
      <w:marTop w:val="0"/>
      <w:marBottom w:val="0"/>
      <w:divBdr>
        <w:top w:val="none" w:sz="0" w:space="0" w:color="auto"/>
        <w:left w:val="none" w:sz="0" w:space="0" w:color="auto"/>
        <w:bottom w:val="none" w:sz="0" w:space="0" w:color="auto"/>
        <w:right w:val="none" w:sz="0" w:space="0" w:color="auto"/>
      </w:divBdr>
    </w:div>
    <w:div w:id="495927452">
      <w:bodyDiv w:val="1"/>
      <w:marLeft w:val="0"/>
      <w:marRight w:val="0"/>
      <w:marTop w:val="0"/>
      <w:marBottom w:val="0"/>
      <w:divBdr>
        <w:top w:val="none" w:sz="0" w:space="0" w:color="auto"/>
        <w:left w:val="none" w:sz="0" w:space="0" w:color="auto"/>
        <w:bottom w:val="none" w:sz="0" w:space="0" w:color="auto"/>
        <w:right w:val="none" w:sz="0" w:space="0" w:color="auto"/>
      </w:divBdr>
    </w:div>
    <w:div w:id="566577070">
      <w:bodyDiv w:val="1"/>
      <w:marLeft w:val="0"/>
      <w:marRight w:val="0"/>
      <w:marTop w:val="0"/>
      <w:marBottom w:val="0"/>
      <w:divBdr>
        <w:top w:val="none" w:sz="0" w:space="0" w:color="auto"/>
        <w:left w:val="none" w:sz="0" w:space="0" w:color="auto"/>
        <w:bottom w:val="none" w:sz="0" w:space="0" w:color="auto"/>
        <w:right w:val="none" w:sz="0" w:space="0" w:color="auto"/>
      </w:divBdr>
    </w:div>
    <w:div w:id="610552247">
      <w:bodyDiv w:val="1"/>
      <w:marLeft w:val="0"/>
      <w:marRight w:val="0"/>
      <w:marTop w:val="0"/>
      <w:marBottom w:val="0"/>
      <w:divBdr>
        <w:top w:val="none" w:sz="0" w:space="0" w:color="auto"/>
        <w:left w:val="none" w:sz="0" w:space="0" w:color="auto"/>
        <w:bottom w:val="none" w:sz="0" w:space="0" w:color="auto"/>
        <w:right w:val="none" w:sz="0" w:space="0" w:color="auto"/>
      </w:divBdr>
    </w:div>
    <w:div w:id="625354520">
      <w:bodyDiv w:val="1"/>
      <w:marLeft w:val="0"/>
      <w:marRight w:val="0"/>
      <w:marTop w:val="0"/>
      <w:marBottom w:val="0"/>
      <w:divBdr>
        <w:top w:val="none" w:sz="0" w:space="0" w:color="auto"/>
        <w:left w:val="none" w:sz="0" w:space="0" w:color="auto"/>
        <w:bottom w:val="none" w:sz="0" w:space="0" w:color="auto"/>
        <w:right w:val="none" w:sz="0" w:space="0" w:color="auto"/>
      </w:divBdr>
    </w:div>
    <w:div w:id="662659226">
      <w:bodyDiv w:val="1"/>
      <w:marLeft w:val="0"/>
      <w:marRight w:val="0"/>
      <w:marTop w:val="0"/>
      <w:marBottom w:val="0"/>
      <w:divBdr>
        <w:top w:val="none" w:sz="0" w:space="0" w:color="auto"/>
        <w:left w:val="none" w:sz="0" w:space="0" w:color="auto"/>
        <w:bottom w:val="none" w:sz="0" w:space="0" w:color="auto"/>
        <w:right w:val="none" w:sz="0" w:space="0" w:color="auto"/>
      </w:divBdr>
    </w:div>
    <w:div w:id="903639562">
      <w:bodyDiv w:val="1"/>
      <w:marLeft w:val="0"/>
      <w:marRight w:val="0"/>
      <w:marTop w:val="0"/>
      <w:marBottom w:val="0"/>
      <w:divBdr>
        <w:top w:val="none" w:sz="0" w:space="0" w:color="auto"/>
        <w:left w:val="none" w:sz="0" w:space="0" w:color="auto"/>
        <w:bottom w:val="none" w:sz="0" w:space="0" w:color="auto"/>
        <w:right w:val="none" w:sz="0" w:space="0" w:color="auto"/>
      </w:divBdr>
    </w:div>
    <w:div w:id="912400033">
      <w:bodyDiv w:val="1"/>
      <w:marLeft w:val="0"/>
      <w:marRight w:val="0"/>
      <w:marTop w:val="0"/>
      <w:marBottom w:val="0"/>
      <w:divBdr>
        <w:top w:val="none" w:sz="0" w:space="0" w:color="auto"/>
        <w:left w:val="none" w:sz="0" w:space="0" w:color="auto"/>
        <w:bottom w:val="none" w:sz="0" w:space="0" w:color="auto"/>
        <w:right w:val="none" w:sz="0" w:space="0" w:color="auto"/>
      </w:divBdr>
    </w:div>
    <w:div w:id="1032926868">
      <w:bodyDiv w:val="1"/>
      <w:marLeft w:val="0"/>
      <w:marRight w:val="0"/>
      <w:marTop w:val="0"/>
      <w:marBottom w:val="0"/>
      <w:divBdr>
        <w:top w:val="none" w:sz="0" w:space="0" w:color="auto"/>
        <w:left w:val="none" w:sz="0" w:space="0" w:color="auto"/>
        <w:bottom w:val="none" w:sz="0" w:space="0" w:color="auto"/>
        <w:right w:val="none" w:sz="0" w:space="0" w:color="auto"/>
      </w:divBdr>
    </w:div>
    <w:div w:id="1037974799">
      <w:bodyDiv w:val="1"/>
      <w:marLeft w:val="0"/>
      <w:marRight w:val="0"/>
      <w:marTop w:val="0"/>
      <w:marBottom w:val="0"/>
      <w:divBdr>
        <w:top w:val="none" w:sz="0" w:space="0" w:color="auto"/>
        <w:left w:val="none" w:sz="0" w:space="0" w:color="auto"/>
        <w:bottom w:val="none" w:sz="0" w:space="0" w:color="auto"/>
        <w:right w:val="none" w:sz="0" w:space="0" w:color="auto"/>
      </w:divBdr>
    </w:div>
    <w:div w:id="1078089893">
      <w:bodyDiv w:val="1"/>
      <w:marLeft w:val="0"/>
      <w:marRight w:val="0"/>
      <w:marTop w:val="0"/>
      <w:marBottom w:val="0"/>
      <w:divBdr>
        <w:top w:val="none" w:sz="0" w:space="0" w:color="auto"/>
        <w:left w:val="none" w:sz="0" w:space="0" w:color="auto"/>
        <w:bottom w:val="none" w:sz="0" w:space="0" w:color="auto"/>
        <w:right w:val="none" w:sz="0" w:space="0" w:color="auto"/>
      </w:divBdr>
    </w:div>
    <w:div w:id="1177617425">
      <w:bodyDiv w:val="1"/>
      <w:marLeft w:val="0"/>
      <w:marRight w:val="0"/>
      <w:marTop w:val="0"/>
      <w:marBottom w:val="0"/>
      <w:divBdr>
        <w:top w:val="none" w:sz="0" w:space="0" w:color="auto"/>
        <w:left w:val="none" w:sz="0" w:space="0" w:color="auto"/>
        <w:bottom w:val="none" w:sz="0" w:space="0" w:color="auto"/>
        <w:right w:val="none" w:sz="0" w:space="0" w:color="auto"/>
      </w:divBdr>
    </w:div>
    <w:div w:id="1215699866">
      <w:bodyDiv w:val="1"/>
      <w:marLeft w:val="0"/>
      <w:marRight w:val="0"/>
      <w:marTop w:val="0"/>
      <w:marBottom w:val="0"/>
      <w:divBdr>
        <w:top w:val="none" w:sz="0" w:space="0" w:color="auto"/>
        <w:left w:val="none" w:sz="0" w:space="0" w:color="auto"/>
        <w:bottom w:val="none" w:sz="0" w:space="0" w:color="auto"/>
        <w:right w:val="none" w:sz="0" w:space="0" w:color="auto"/>
      </w:divBdr>
    </w:div>
    <w:div w:id="1242177621">
      <w:bodyDiv w:val="1"/>
      <w:marLeft w:val="0"/>
      <w:marRight w:val="0"/>
      <w:marTop w:val="0"/>
      <w:marBottom w:val="0"/>
      <w:divBdr>
        <w:top w:val="none" w:sz="0" w:space="0" w:color="auto"/>
        <w:left w:val="none" w:sz="0" w:space="0" w:color="auto"/>
        <w:bottom w:val="none" w:sz="0" w:space="0" w:color="auto"/>
        <w:right w:val="none" w:sz="0" w:space="0" w:color="auto"/>
      </w:divBdr>
    </w:div>
    <w:div w:id="1407219028">
      <w:bodyDiv w:val="1"/>
      <w:marLeft w:val="0"/>
      <w:marRight w:val="0"/>
      <w:marTop w:val="0"/>
      <w:marBottom w:val="0"/>
      <w:divBdr>
        <w:top w:val="none" w:sz="0" w:space="0" w:color="auto"/>
        <w:left w:val="none" w:sz="0" w:space="0" w:color="auto"/>
        <w:bottom w:val="none" w:sz="0" w:space="0" w:color="auto"/>
        <w:right w:val="none" w:sz="0" w:space="0" w:color="auto"/>
      </w:divBdr>
      <w:divsChild>
        <w:div w:id="1397163511">
          <w:marLeft w:val="547"/>
          <w:marRight w:val="0"/>
          <w:marTop w:val="0"/>
          <w:marBottom w:val="0"/>
          <w:divBdr>
            <w:top w:val="none" w:sz="0" w:space="0" w:color="auto"/>
            <w:left w:val="none" w:sz="0" w:space="0" w:color="auto"/>
            <w:bottom w:val="none" w:sz="0" w:space="0" w:color="auto"/>
            <w:right w:val="none" w:sz="0" w:space="0" w:color="auto"/>
          </w:divBdr>
        </w:div>
      </w:divsChild>
    </w:div>
    <w:div w:id="1415472675">
      <w:bodyDiv w:val="1"/>
      <w:marLeft w:val="0"/>
      <w:marRight w:val="0"/>
      <w:marTop w:val="0"/>
      <w:marBottom w:val="0"/>
      <w:divBdr>
        <w:top w:val="none" w:sz="0" w:space="0" w:color="auto"/>
        <w:left w:val="none" w:sz="0" w:space="0" w:color="auto"/>
        <w:bottom w:val="none" w:sz="0" w:space="0" w:color="auto"/>
        <w:right w:val="none" w:sz="0" w:space="0" w:color="auto"/>
      </w:divBdr>
    </w:div>
    <w:div w:id="1476289083">
      <w:bodyDiv w:val="1"/>
      <w:marLeft w:val="0"/>
      <w:marRight w:val="0"/>
      <w:marTop w:val="0"/>
      <w:marBottom w:val="0"/>
      <w:divBdr>
        <w:top w:val="none" w:sz="0" w:space="0" w:color="auto"/>
        <w:left w:val="none" w:sz="0" w:space="0" w:color="auto"/>
        <w:bottom w:val="none" w:sz="0" w:space="0" w:color="auto"/>
        <w:right w:val="none" w:sz="0" w:space="0" w:color="auto"/>
      </w:divBdr>
    </w:div>
    <w:div w:id="1486779601">
      <w:bodyDiv w:val="1"/>
      <w:marLeft w:val="0"/>
      <w:marRight w:val="0"/>
      <w:marTop w:val="0"/>
      <w:marBottom w:val="0"/>
      <w:divBdr>
        <w:top w:val="none" w:sz="0" w:space="0" w:color="auto"/>
        <w:left w:val="none" w:sz="0" w:space="0" w:color="auto"/>
        <w:bottom w:val="none" w:sz="0" w:space="0" w:color="auto"/>
        <w:right w:val="none" w:sz="0" w:space="0" w:color="auto"/>
      </w:divBdr>
    </w:div>
    <w:div w:id="1576088945">
      <w:bodyDiv w:val="1"/>
      <w:marLeft w:val="0"/>
      <w:marRight w:val="0"/>
      <w:marTop w:val="0"/>
      <w:marBottom w:val="0"/>
      <w:divBdr>
        <w:top w:val="none" w:sz="0" w:space="0" w:color="auto"/>
        <w:left w:val="none" w:sz="0" w:space="0" w:color="auto"/>
        <w:bottom w:val="none" w:sz="0" w:space="0" w:color="auto"/>
        <w:right w:val="none" w:sz="0" w:space="0" w:color="auto"/>
      </w:divBdr>
    </w:div>
    <w:div w:id="1624190156">
      <w:bodyDiv w:val="1"/>
      <w:marLeft w:val="0"/>
      <w:marRight w:val="0"/>
      <w:marTop w:val="0"/>
      <w:marBottom w:val="0"/>
      <w:divBdr>
        <w:top w:val="none" w:sz="0" w:space="0" w:color="auto"/>
        <w:left w:val="none" w:sz="0" w:space="0" w:color="auto"/>
        <w:bottom w:val="none" w:sz="0" w:space="0" w:color="auto"/>
        <w:right w:val="none" w:sz="0" w:space="0" w:color="auto"/>
      </w:divBdr>
    </w:div>
    <w:div w:id="1674454163">
      <w:bodyDiv w:val="1"/>
      <w:marLeft w:val="0"/>
      <w:marRight w:val="0"/>
      <w:marTop w:val="0"/>
      <w:marBottom w:val="0"/>
      <w:divBdr>
        <w:top w:val="none" w:sz="0" w:space="0" w:color="auto"/>
        <w:left w:val="none" w:sz="0" w:space="0" w:color="auto"/>
        <w:bottom w:val="none" w:sz="0" w:space="0" w:color="auto"/>
        <w:right w:val="none" w:sz="0" w:space="0" w:color="auto"/>
      </w:divBdr>
    </w:div>
    <w:div w:id="1845632511">
      <w:bodyDiv w:val="1"/>
      <w:marLeft w:val="0"/>
      <w:marRight w:val="0"/>
      <w:marTop w:val="0"/>
      <w:marBottom w:val="0"/>
      <w:divBdr>
        <w:top w:val="none" w:sz="0" w:space="0" w:color="auto"/>
        <w:left w:val="none" w:sz="0" w:space="0" w:color="auto"/>
        <w:bottom w:val="none" w:sz="0" w:space="0" w:color="auto"/>
        <w:right w:val="none" w:sz="0" w:space="0" w:color="auto"/>
      </w:divBdr>
    </w:div>
    <w:div w:id="1858690653">
      <w:bodyDiv w:val="1"/>
      <w:marLeft w:val="0"/>
      <w:marRight w:val="0"/>
      <w:marTop w:val="0"/>
      <w:marBottom w:val="0"/>
      <w:divBdr>
        <w:top w:val="none" w:sz="0" w:space="0" w:color="auto"/>
        <w:left w:val="none" w:sz="0" w:space="0" w:color="auto"/>
        <w:bottom w:val="none" w:sz="0" w:space="0" w:color="auto"/>
        <w:right w:val="none" w:sz="0" w:space="0" w:color="auto"/>
      </w:divBdr>
    </w:div>
    <w:div w:id="1912809372">
      <w:bodyDiv w:val="1"/>
      <w:marLeft w:val="0"/>
      <w:marRight w:val="0"/>
      <w:marTop w:val="0"/>
      <w:marBottom w:val="0"/>
      <w:divBdr>
        <w:top w:val="none" w:sz="0" w:space="0" w:color="auto"/>
        <w:left w:val="none" w:sz="0" w:space="0" w:color="auto"/>
        <w:bottom w:val="none" w:sz="0" w:space="0" w:color="auto"/>
        <w:right w:val="none" w:sz="0" w:space="0" w:color="auto"/>
      </w:divBdr>
    </w:div>
    <w:div w:id="2036614333">
      <w:bodyDiv w:val="1"/>
      <w:marLeft w:val="0"/>
      <w:marRight w:val="0"/>
      <w:marTop w:val="0"/>
      <w:marBottom w:val="0"/>
      <w:divBdr>
        <w:top w:val="none" w:sz="0" w:space="0" w:color="auto"/>
        <w:left w:val="none" w:sz="0" w:space="0" w:color="auto"/>
        <w:bottom w:val="none" w:sz="0" w:space="0" w:color="auto"/>
        <w:right w:val="none" w:sz="0" w:space="0" w:color="auto"/>
      </w:divBdr>
    </w:div>
    <w:div w:id="2040617815">
      <w:bodyDiv w:val="1"/>
      <w:marLeft w:val="0"/>
      <w:marRight w:val="0"/>
      <w:marTop w:val="0"/>
      <w:marBottom w:val="0"/>
      <w:divBdr>
        <w:top w:val="none" w:sz="0" w:space="0" w:color="auto"/>
        <w:left w:val="none" w:sz="0" w:space="0" w:color="auto"/>
        <w:bottom w:val="none" w:sz="0" w:space="0" w:color="auto"/>
        <w:right w:val="none" w:sz="0" w:space="0" w:color="auto"/>
      </w:divBdr>
      <w:divsChild>
        <w:div w:id="114637421">
          <w:marLeft w:val="0"/>
          <w:marRight w:val="0"/>
          <w:marTop w:val="0"/>
          <w:marBottom w:val="0"/>
          <w:divBdr>
            <w:top w:val="none" w:sz="0" w:space="0" w:color="auto"/>
            <w:left w:val="none" w:sz="0" w:space="0" w:color="auto"/>
            <w:bottom w:val="none" w:sz="0" w:space="0" w:color="auto"/>
            <w:right w:val="none" w:sz="0" w:space="0" w:color="auto"/>
          </w:divBdr>
        </w:div>
      </w:divsChild>
    </w:div>
    <w:div w:id="21332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ptf.undp.org/document/download/10425"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mptf.undp.org/overview/offic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ptf.undp.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docs.org/S/RES/2250(2015)" TargetMode="External"/><Relationship Id="rId3" Type="http://schemas.openxmlformats.org/officeDocument/2006/relationships/hyperlink" Target="http://ask.rks-gov.net/media/3989/labour-force-survey-2017.pdf" TargetMode="External"/><Relationship Id="rId7" Type="http://schemas.openxmlformats.org/officeDocument/2006/relationships/hyperlink" Target="http://www.ks.undp.org/content/kosovo/en/home/library/democratic_governance/public-pulse-analysis.html" TargetMode="External"/><Relationship Id="rId2" Type="http://schemas.openxmlformats.org/officeDocument/2006/relationships/hyperlink" Target="http://ask.rks-gov.net/media/3989/labour-force-survey-2017.pdf" TargetMode="External"/><Relationship Id="rId1" Type="http://schemas.openxmlformats.org/officeDocument/2006/relationships/hyperlink" Target="http://www.ks.undp.org/content/kosovo/en/home/library/democratic_governance/public-pulse-xiii/" TargetMode="External"/><Relationship Id="rId6" Type="http://schemas.openxmlformats.org/officeDocument/2006/relationships/hyperlink" Target="http://www.ks.undp.org/content/kosovo/en/home/library/democratic_governance/public-pulse-analysis.html" TargetMode="External"/><Relationship Id="rId5" Type="http://schemas.openxmlformats.org/officeDocument/2006/relationships/hyperlink" Target="https://www.youth4peace.info/ProgressStudy/NationalConsultations" TargetMode="External"/><Relationship Id="rId10" Type="http://schemas.openxmlformats.org/officeDocument/2006/relationships/hyperlink" Target="https://unmik.unmissions.org/united-nations-kosovo-trust-building-forum-ljubljana-may-6-8-2018-final-report" TargetMode="External"/><Relationship Id="rId4" Type="http://schemas.openxmlformats.org/officeDocument/2006/relationships/hyperlink" Target="http://www.ks.undp.org/content/kosovo/en/home/library/democratic_governance/public-pulse-analysis.html" TargetMode="External"/><Relationship Id="rId9" Type="http://schemas.openxmlformats.org/officeDocument/2006/relationships/hyperlink" Target="https://www.un.org/sustainabledevelopment/wp-cont%20ent/uploads/2018/09/18-00080_UN-Youth-Strategy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2019-05-23T08:00:00+00:00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Kosovo (as per UNSCR 1244)</TermName>
          <TermId xmlns="http://schemas.microsoft.com/office/infopath/2007/PartnerControls">8698d1bb-8b4b-498a-8610-621c3b25ddfa</TermId>
        </TermInfo>
      </Terms>
    </UNDPCountryTaxHTField0>
    <UndpOUCode xmlns="1ed4137b-41b2-488b-8250-6d369ec27664">KOS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Peace-building</TermName>
          <TermId xmlns="http://schemas.microsoft.com/office/infopath/2007/PartnerControls">2ea7ef01-e3f6-4656-a8be-17c3474bc860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424</Value>
      <Value>763</Value>
      <Value>1478</Value>
      <Value>1110</Value>
      <Value>1481</Value>
      <Value>1</Value>
    </TaxCatchAll>
    <c4e2ab2cc9354bbf9064eeb465a566ea xmlns="1ed4137b-41b2-488b-8250-6d369ec27664">
      <Terms xmlns="http://schemas.microsoft.com/office/infopath/2007/PartnerControls"/>
    </c4e2ab2cc9354bbf9064eeb465a566ea>
    <UndpProjectNo xmlns="1ed4137b-41b2-488b-8250-6d369ec27664">00116874</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KOS</TermName>
          <TermId xmlns="http://schemas.microsoft.com/office/infopath/2007/PartnerControls">2919712c-ec54-4da9-9e42-233e750f073b</TermId>
        </TermInfo>
      </Terms>
    </gc6531b704974d528487414686b72f6f>
    <_dlc_DocId xmlns="f1161f5b-24a3-4c2d-bc81-44cb9325e8ee">ATLASPDC-4-99911</_dlc_DocId>
    <_dlc_DocIdUrl xmlns="f1161f5b-24a3-4c2d-bc81-44cb9325e8ee">
      <Url>https://info.undp.org/docs/pdc/_layouts/DocIdRedir.aspx?ID=ATLASPDC-4-99911</Url>
      <Description>ATLASPDC-4-99911</Description>
    </_dlc_DocIdUrl>
    <Document_x0020_Coverage_x0020_Period_x0020_Start_x0020_Date xmlns="f1161f5b-24a3-4c2d-bc81-44cb9325e8ee">2019-01-01T05:00:00+00:00</Document_x0020_Coverage_x0020_Period_x0020_Start_x0020_Date>
    <Document_x0020_Coverage_x0020_Period_x0020_End_x0020_Date xmlns="f1161f5b-24a3-4c2d-bc81-44cb9325e8ee">2021-03-31T04:00:00+00:00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B08B07-7E1B-4E4D-8B40-FB22C00A1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C3216B-07EA-4B18-BFA0-3056C25467EF}">
  <ds:schemaRefs>
    <ds:schemaRef ds:uri="http://schemas.microsoft.com/sharepoint/v3/contenttype/forms"/>
  </ds:schemaRefs>
</ds:datastoreItem>
</file>

<file path=customXml/itemProps3.xml><?xml version="1.0" encoding="utf-8"?>
<ds:datastoreItem xmlns:ds="http://schemas.openxmlformats.org/officeDocument/2006/customXml" ds:itemID="{7C87DB91-E6C0-4258-904B-5B72C0A2FC1D}"/>
</file>

<file path=customXml/itemProps4.xml><?xml version="1.0" encoding="utf-8"?>
<ds:datastoreItem xmlns:ds="http://schemas.openxmlformats.org/officeDocument/2006/customXml" ds:itemID="{3E2044FE-897E-4651-B93C-FC58F05B43AC}">
  <ds:schemaRefs>
    <ds:schemaRef ds:uri="http://schemas.openxmlformats.org/officeDocument/2006/bibliography"/>
  </ds:schemaRefs>
</ds:datastoreItem>
</file>

<file path=customXml/itemProps5.xml><?xml version="1.0" encoding="utf-8"?>
<ds:datastoreItem xmlns:ds="http://schemas.openxmlformats.org/officeDocument/2006/customXml" ds:itemID="{3DEC30A7-CE83-409B-950F-DCACB2BC53EC}"/>
</file>

<file path=customXml/itemProps6.xml><?xml version="1.0" encoding="utf-8"?>
<ds:datastoreItem xmlns:ds="http://schemas.openxmlformats.org/officeDocument/2006/customXml" ds:itemID="{8E4E1956-06AE-4F86-842C-6EF7ACE50D14}"/>
</file>

<file path=docProps/app.xml><?xml version="1.0" encoding="utf-8"?>
<Properties xmlns="http://schemas.openxmlformats.org/officeDocument/2006/extended-properties" xmlns:vt="http://schemas.openxmlformats.org/officeDocument/2006/docPropsVTypes">
  <Template>Normal</Template>
  <TotalTime>24</TotalTime>
  <Pages>31</Pages>
  <Words>12889</Words>
  <Characters>73470</Characters>
  <Application>Microsoft Office Word</Application>
  <DocSecurity>0</DocSecurity>
  <Lines>612</Lines>
  <Paragraphs>172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PBF – PROJECT DOCUMENT</vt:lpstr>
      <vt:lpstr>PBF – PROJECT DOCUMENT</vt:lpstr>
    </vt:vector>
  </TitlesOfParts>
  <Company>United Nations</Company>
  <LinksUpToDate>false</LinksUpToDate>
  <CharactersWithSpaces>86187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 – PROJECT DOCUMENT</dc:title>
  <dc:subject/>
  <dc:creator>United Nations</dc:creator>
  <cp:keywords/>
  <dc:description/>
  <cp:lastModifiedBy>Ferdinand Nikolla</cp:lastModifiedBy>
  <cp:revision>7</cp:revision>
  <cp:lastPrinted>2018-12-05T15:45:00Z</cp:lastPrinted>
  <dcterms:created xsi:type="dcterms:W3CDTF">2019-05-07T15:16:00Z</dcterms:created>
  <dcterms:modified xsi:type="dcterms:W3CDTF">2019-05-22T09:10:00Z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1481;#Kosovo (as per UNSCR 1244)|8698d1bb-8b4b-498a-8610-621c3b25ddfa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1478;#KOS|2919712c-ec54-4da9-9e42-233e750f073b</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424;#Peace-building|2ea7ef01-e3f6-4656-a8be-17c3474bc860</vt:lpwstr>
  </property>
  <property fmtid="{D5CDD505-2E9C-101B-9397-08002B2CF9AE}" pid="13" name="_dlc_DocIdItemGuid">
    <vt:lpwstr>f24cd1ce-a3ad-464d-a749-91d20bc9969f</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